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57108" w:rsidP="00457108">
            <w:pPr>
              <w:rPr>
                <w:b/>
              </w:rPr>
            </w:pPr>
            <w:r>
              <w:rPr>
                <w:rStyle w:val="Firstpagetablebold"/>
              </w:rPr>
              <w:t>1</w:t>
            </w:r>
            <w:r w:rsidR="00C0541B">
              <w:rPr>
                <w:rStyle w:val="Firstpagetablebold"/>
              </w:rPr>
              <w:t xml:space="preserve">4 </w:t>
            </w:r>
            <w:r>
              <w:rPr>
                <w:rStyle w:val="Firstpagetablebold"/>
              </w:rPr>
              <w:t xml:space="preserve">January </w:t>
            </w:r>
            <w:r w:rsidR="00C0541B">
              <w:rPr>
                <w:rStyle w:val="Firstpagetablebold"/>
              </w:rPr>
              <w:t>202</w:t>
            </w:r>
            <w:r>
              <w:rPr>
                <w:rStyle w:val="Firstpagetablebold"/>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00DE8" w:rsidP="00457108">
            <w:pPr>
              <w:rPr>
                <w:rStyle w:val="Firstpagetablebold"/>
              </w:rPr>
            </w:pPr>
            <w:r>
              <w:rPr>
                <w:rFonts w:cs="Arial"/>
                <w:b/>
                <w:bCs/>
              </w:rPr>
              <w:t>Risk Management Reporting as at 3</w:t>
            </w:r>
            <w:r w:rsidR="00457108">
              <w:rPr>
                <w:rFonts w:cs="Arial"/>
                <w:b/>
                <w:bCs/>
              </w:rPr>
              <w:t>0</w:t>
            </w:r>
            <w:r>
              <w:rPr>
                <w:rFonts w:cs="Arial"/>
                <w:b/>
                <w:bCs/>
              </w:rPr>
              <w:t xml:space="preserve"> </w:t>
            </w:r>
            <w:r w:rsidR="00457108">
              <w:rPr>
                <w:rFonts w:cs="Arial"/>
                <w:b/>
                <w:bCs/>
              </w:rPr>
              <w:t>November</w:t>
            </w:r>
            <w:r>
              <w:rPr>
                <w:rFonts w:cs="Arial"/>
                <w:b/>
                <w:bCs/>
              </w:rPr>
              <w:t xml:space="preserve"> 2020</w:t>
            </w:r>
          </w:p>
        </w:tc>
      </w:tr>
    </w:tbl>
    <w:p w:rsidR="004F20EF" w:rsidRDefault="004F20EF" w:rsidP="004A6D2F"/>
    <w:p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00DE8" w:rsidP="00457108">
            <w:r w:rsidRPr="00A91CBA">
              <w:rPr>
                <w:rFonts w:cs="Arial"/>
              </w:rPr>
              <w:t xml:space="preserve">To update the Committee on both corporate and service risks as at </w:t>
            </w:r>
            <w:r>
              <w:rPr>
                <w:rFonts w:cs="Arial"/>
              </w:rPr>
              <w:t>3</w:t>
            </w:r>
            <w:r w:rsidR="00457108">
              <w:rPr>
                <w:rFonts w:cs="Arial"/>
              </w:rPr>
              <w:t xml:space="preserve">0 November </w:t>
            </w:r>
            <w:r>
              <w:rPr>
                <w:rFonts w:cs="Arial"/>
              </w:rPr>
              <w:t>2020</w:t>
            </w:r>
            <w:r w:rsidR="00E33416" w:rsidRPr="00E33416">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D69A7" w:rsidP="00E33416">
            <w:r>
              <w:t>n/a</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D69A7" w:rsidP="005F7F7E">
            <w:r>
              <w:t>n/a</w:t>
            </w:r>
          </w:p>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 xml:space="preserve">Appendix </w:t>
            </w:r>
            <w:r w:rsidR="00F00DE8">
              <w:t>A</w:t>
            </w:r>
          </w:p>
        </w:tc>
        <w:tc>
          <w:tcPr>
            <w:tcW w:w="6406" w:type="dxa"/>
            <w:tcBorders>
              <w:top w:val="single" w:sz="8" w:space="0" w:color="000000"/>
              <w:left w:val="nil"/>
              <w:bottom w:val="nil"/>
              <w:right w:val="single" w:sz="8" w:space="0" w:color="000000"/>
            </w:tcBorders>
          </w:tcPr>
          <w:p w:rsidR="00ED5860" w:rsidRPr="001356F1" w:rsidRDefault="00F00DE8" w:rsidP="00E33416">
            <w:r>
              <w:rPr>
                <w:rFonts w:cs="Arial"/>
              </w:rPr>
              <w:t>Corporate Risk Register</w:t>
            </w:r>
          </w:p>
        </w:tc>
      </w:tr>
      <w:tr w:rsidR="00F00DE8" w:rsidRPr="00975B07" w:rsidTr="00A46E98">
        <w:tc>
          <w:tcPr>
            <w:tcW w:w="2438" w:type="dxa"/>
            <w:tcBorders>
              <w:top w:val="nil"/>
              <w:left w:val="single" w:sz="8" w:space="0" w:color="000000"/>
              <w:bottom w:val="single" w:sz="8" w:space="0" w:color="000000"/>
              <w:right w:val="nil"/>
            </w:tcBorders>
            <w:shd w:val="clear" w:color="auto" w:fill="auto"/>
          </w:tcPr>
          <w:p w:rsidR="00F00DE8" w:rsidRPr="00975B07" w:rsidRDefault="007D69A7" w:rsidP="00E33416">
            <w:r>
              <w:t>Appendix B</w:t>
            </w:r>
          </w:p>
        </w:tc>
        <w:tc>
          <w:tcPr>
            <w:tcW w:w="6406" w:type="dxa"/>
            <w:tcBorders>
              <w:top w:val="nil"/>
              <w:left w:val="nil"/>
              <w:bottom w:val="single" w:sz="8" w:space="0" w:color="000000"/>
              <w:right w:val="single" w:sz="8" w:space="0" w:color="000000"/>
            </w:tcBorders>
          </w:tcPr>
          <w:p w:rsidR="00F00DE8" w:rsidRPr="001356F1" w:rsidRDefault="007D69A7" w:rsidP="00E33416">
            <w:r>
              <w:t>Risk Management Strategy</w:t>
            </w:r>
            <w:bookmarkStart w:id="0" w:name="_GoBack"/>
            <w:bookmarkEnd w:id="0"/>
            <w:r>
              <w:t xml:space="preserve"> and Toolkit</w:t>
            </w:r>
          </w:p>
        </w:tc>
      </w:tr>
    </w:tbl>
    <w:p w:rsidR="00F00DE8" w:rsidRDefault="00F00DE8" w:rsidP="004A6D2F">
      <w:pPr>
        <w:pStyle w:val="Heading1"/>
      </w:pPr>
    </w:p>
    <w:p w:rsidR="00F00DE8" w:rsidRPr="00F00DE8" w:rsidRDefault="00F00DE8" w:rsidP="00F00DE8">
      <w:r w:rsidRPr="00F00DE8">
        <w:rPr>
          <w:b/>
        </w:rPr>
        <w:t>Risk Scoring Matrix</w:t>
      </w:r>
    </w:p>
    <w:p w:rsidR="00F00DE8" w:rsidRDefault="00F00DE8" w:rsidP="00F00DE8">
      <w:pPr>
        <w:pStyle w:val="bParagraphtext"/>
      </w:pPr>
      <w:r>
        <w:t>The Council operates a ‘five by five’ scoring matrix based on probability and impact. The methodology for scoring risks is set out below along with a copy of the scoring matrix or ‘heat map’.</w:t>
      </w:r>
    </w:p>
    <w:p w:rsidR="00F00DE8" w:rsidRDefault="00F00DE8" w:rsidP="00F00DE8">
      <w:pPr>
        <w:pStyle w:val="bParagraphtext"/>
      </w:pPr>
      <w:r>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F00DE8" w:rsidRDefault="00F00DE8" w:rsidP="00F00DE8">
      <w:pPr>
        <w:pStyle w:val="bParagraphtext"/>
      </w:pPr>
      <w:r>
        <w:t>The risk prioritisation matrix is shown below.</w:t>
      </w:r>
    </w:p>
    <w:p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rsidTr="008D5CD9">
        <w:trPr>
          <w:trHeight w:val="315"/>
        </w:trPr>
        <w:tc>
          <w:tcPr>
            <w:tcW w:w="1280" w:type="dxa"/>
            <w:shd w:val="clear" w:color="auto" w:fill="FFFFFF"/>
            <w:noWrap/>
            <w:vAlign w:val="center"/>
            <w:hideMark/>
          </w:tcPr>
          <w:p w:rsidR="00F00DE8" w:rsidRPr="00011AC6" w:rsidRDefault="00F00DE8" w:rsidP="008D5CD9">
            <w:pPr>
              <w:jc w:val="center"/>
              <w:rPr>
                <w:rFonts w:cs="Arial"/>
                <w:b/>
                <w:bCs/>
                <w:sz w:val="22"/>
                <w:szCs w:val="22"/>
              </w:rPr>
            </w:pPr>
            <w:r w:rsidRPr="00011AC6">
              <w:rPr>
                <w:rFonts w:cs="Arial"/>
                <w:b/>
                <w:bCs/>
                <w:sz w:val="22"/>
                <w:szCs w:val="22"/>
              </w:rPr>
              <w:lastRenderedPageBreak/>
              <w:t>Probability</w:t>
            </w:r>
          </w:p>
        </w:tc>
        <w:tc>
          <w:tcPr>
            <w:tcW w:w="80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r>
      <w:tr w:rsidR="00F00DE8" w:rsidRPr="00011AC6" w:rsidTr="008D5CD9">
        <w:trPr>
          <w:trHeight w:val="619"/>
        </w:trPr>
        <w:tc>
          <w:tcPr>
            <w:tcW w:w="1280" w:type="dxa"/>
            <w:shd w:val="clear" w:color="auto" w:fill="FFFFFF"/>
            <w:vAlign w:val="center"/>
            <w:hideMark/>
          </w:tcPr>
          <w:p w:rsidR="00F00DE8" w:rsidRPr="00011AC6" w:rsidRDefault="00F00DE8" w:rsidP="008D5CD9">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25</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4</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20</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3</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15</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2</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10</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5</w:t>
            </w:r>
          </w:p>
        </w:tc>
      </w:tr>
      <w:tr w:rsidR="00F00DE8" w:rsidRPr="00011AC6" w:rsidTr="008D5CD9">
        <w:trPr>
          <w:trHeight w:val="315"/>
        </w:trPr>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80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1</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2</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3</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4</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5</w:t>
            </w:r>
          </w:p>
        </w:tc>
      </w:tr>
      <w:tr w:rsidR="00F00DE8" w:rsidRPr="00011AC6" w:rsidTr="008D5CD9">
        <w:trPr>
          <w:trHeight w:val="300"/>
        </w:trPr>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800" w:type="dxa"/>
            <w:shd w:val="clear" w:color="auto" w:fill="FFFFFF"/>
            <w:noWrap/>
            <w:vAlign w:val="center"/>
            <w:hideMark/>
          </w:tcPr>
          <w:p w:rsidR="00F00DE8" w:rsidRPr="00011AC6" w:rsidRDefault="00F00DE8" w:rsidP="008D5CD9">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Severe</w:t>
            </w:r>
          </w:p>
        </w:tc>
      </w:tr>
    </w:tbl>
    <w:p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rsidTr="008D5CD9">
        <w:trPr>
          <w:trHeight w:val="285"/>
        </w:trPr>
        <w:tc>
          <w:tcPr>
            <w:tcW w:w="1967" w:type="dxa"/>
            <w:tcBorders>
              <w:top w:val="nil"/>
              <w:left w:val="nil"/>
              <w:bottom w:val="nil"/>
              <w:right w:val="nil"/>
            </w:tcBorders>
            <w:shd w:val="clear" w:color="auto" w:fill="auto"/>
            <w:noWrap/>
            <w:vAlign w:val="center"/>
            <w:hideMark/>
          </w:tcPr>
          <w:p w:rsidR="00F00DE8" w:rsidRPr="00A91CBA" w:rsidRDefault="00F00DE8" w:rsidP="008D5CD9">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00DE8" w:rsidRPr="00A91CBA" w:rsidRDefault="00F00DE8" w:rsidP="008D5CD9">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F00DE8" w:rsidRPr="00A91CBA" w:rsidRDefault="00F00DE8" w:rsidP="008D5CD9">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F00DE8" w:rsidRPr="00A91CBA" w:rsidRDefault="00F00DE8" w:rsidP="008D5CD9">
            <w:pPr>
              <w:jc w:val="center"/>
              <w:rPr>
                <w:rFonts w:cs="Arial"/>
                <w:b/>
                <w:bCs/>
                <w:color w:val="FFFFFF"/>
              </w:rPr>
            </w:pPr>
            <w:r w:rsidRPr="00A91CBA">
              <w:rPr>
                <w:rFonts w:cs="Arial"/>
                <w:b/>
                <w:bCs/>
                <w:color w:val="FFFFFF"/>
              </w:rPr>
              <w:t>Red</w:t>
            </w:r>
          </w:p>
        </w:tc>
      </w:tr>
      <w:tr w:rsidR="00F00DE8" w:rsidRPr="00A91CBA" w:rsidTr="008D5CD9">
        <w:trPr>
          <w:trHeight w:val="272"/>
        </w:trPr>
        <w:tc>
          <w:tcPr>
            <w:tcW w:w="1967" w:type="dxa"/>
            <w:tcBorders>
              <w:top w:val="nil"/>
              <w:left w:val="nil"/>
              <w:bottom w:val="nil"/>
              <w:right w:val="nil"/>
            </w:tcBorders>
            <w:shd w:val="clear" w:color="auto" w:fill="auto"/>
            <w:noWrap/>
            <w:vAlign w:val="bottom"/>
            <w:hideMark/>
          </w:tcPr>
          <w:p w:rsidR="00F00DE8" w:rsidRPr="00A91CBA" w:rsidRDefault="00F00DE8" w:rsidP="008D5CD9">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F00DE8" w:rsidRPr="00A91CBA" w:rsidRDefault="00F00DE8" w:rsidP="008D5CD9">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F00DE8" w:rsidRPr="00A91CBA" w:rsidRDefault="00F00DE8" w:rsidP="008D5CD9">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F00DE8" w:rsidRPr="00A91CBA" w:rsidRDefault="00F00DE8" w:rsidP="008D5CD9">
            <w:pPr>
              <w:rPr>
                <w:rFonts w:cs="Arial"/>
              </w:rPr>
            </w:pPr>
            <w:r w:rsidRPr="00A91CBA">
              <w:rPr>
                <w:rFonts w:eastAsiaTheme="minorHAnsi" w:cs="Arial"/>
              </w:rPr>
              <w:t> </w:t>
            </w:r>
          </w:p>
        </w:tc>
      </w:tr>
    </w:tbl>
    <w:p w:rsidR="00F00DE8" w:rsidRDefault="00F00DE8" w:rsidP="004A6D2F"/>
    <w:p w:rsidR="00F00DE8" w:rsidRDefault="00F00DE8" w:rsidP="004A6D2F"/>
    <w:p w:rsidR="00F00DE8" w:rsidRPr="00F00DE8" w:rsidRDefault="00F00DE8" w:rsidP="00F00DE8">
      <w:pPr>
        <w:pStyle w:val="Heading1"/>
      </w:pPr>
      <w:r>
        <w:t xml:space="preserve">Risk </w:t>
      </w:r>
      <w:r w:rsidRPr="00A91CBA">
        <w:t>Identification</w:t>
      </w:r>
    </w:p>
    <w:p w:rsidR="00F00DE8" w:rsidRDefault="00F00DE8" w:rsidP="00F00DE8">
      <w:pPr>
        <w:pStyle w:val="bParagraphtext"/>
      </w:pPr>
      <w:r w:rsidRPr="00A91CBA">
        <w:rPr>
          <w:b/>
        </w:rPr>
        <w:t xml:space="preserve">Corporate Risks – </w:t>
      </w:r>
      <w:r w:rsidRPr="00A91CBA">
        <w:t xml:space="preserve">The Corporate Risk Register (CRR) is reviewed by the Corporate Management Team (CMT) on a </w:t>
      </w:r>
      <w:r>
        <w:t xml:space="preserve">periodic </w:t>
      </w:r>
      <w:r w:rsidRPr="00A91CBA">
        <w:t xml:space="preserve">basis, any new risks are incorporated into a revised version of the CRR.  Risk owners </w:t>
      </w:r>
      <w:r>
        <w:t>of</w:t>
      </w:r>
      <w:r w:rsidRPr="00A91CBA">
        <w:t xml:space="preserve"> corporate risks are generally </w:t>
      </w:r>
      <w:r>
        <w:t xml:space="preserve">Executive </w:t>
      </w:r>
      <w:r w:rsidRPr="00A91CBA">
        <w:t>Director</w:t>
      </w:r>
      <w:r>
        <w:t>s.</w:t>
      </w:r>
    </w:p>
    <w:p w:rsidR="00F00DE8" w:rsidRPr="003722CF" w:rsidRDefault="00F00DE8" w:rsidP="00F00DE8">
      <w:pPr>
        <w:pStyle w:val="bParagraphtext"/>
      </w:pPr>
      <w:r w:rsidRPr="00A91CBA">
        <w:rPr>
          <w:b/>
        </w:rPr>
        <w:t xml:space="preserve">Service Risks – </w:t>
      </w:r>
      <w:r w:rsidRPr="00A91CBA">
        <w:t xml:space="preserve">Service </w:t>
      </w:r>
      <w:r>
        <w:t>A</w:t>
      </w:r>
      <w:r w:rsidRPr="00A91CBA">
        <w:t xml:space="preserve">rea risks are reviewed periodically by Heads of Service and Service Managers.  The Financial Accounting Manager has oversight of all risks and on a quarterly basis will review service risks to determine </w:t>
      </w:r>
      <w:r>
        <w:t>whether they should be considered f</w:t>
      </w:r>
      <w:r w:rsidRPr="00A91CBA">
        <w:t>or inclusion in the Corporate Risk Register.</w:t>
      </w:r>
    </w:p>
    <w:p w:rsidR="00F00DE8" w:rsidRDefault="00F00DE8" w:rsidP="00F00DE8">
      <w:pPr>
        <w:pStyle w:val="bParagraphtext"/>
      </w:pPr>
      <w:r w:rsidRPr="00676B7F">
        <w:rPr>
          <w:b/>
        </w:rPr>
        <w:t xml:space="preserve">Project and Programme Risk – </w:t>
      </w:r>
      <w:r w:rsidRPr="00676B7F">
        <w:t xml:space="preserve">The Council adopts the principles of Prince2 </w:t>
      </w:r>
      <w:r>
        <w:t xml:space="preserve">and agile </w:t>
      </w:r>
      <w:r w:rsidRPr="00676B7F">
        <w:t>methodolog</w:t>
      </w:r>
      <w:r>
        <w:t>ies in addition to recognised industry standards in construction</w:t>
      </w:r>
      <w:r w:rsidRPr="00676B7F">
        <w:t xml:space="preserve"> for managing projects. Incorporated within th</w:t>
      </w:r>
      <w:r>
        <w:t>e</w:t>
      </w:r>
      <w:r w:rsidRPr="00676B7F">
        <w:t>s</w:t>
      </w:r>
      <w:r>
        <w:t>e</w:t>
      </w:r>
      <w:r w:rsidRPr="00676B7F">
        <w:t xml:space="preserve"> methodolog</w:t>
      </w:r>
      <w:r>
        <w:t>ies</w:t>
      </w:r>
      <w:r w:rsidRPr="00676B7F">
        <w:t xml:space="preserve"> is a robust process for the management of risk within a project environment.  Each project is managed by the Project Manager who controls and co-ordinates all aspects of the project through to conclusion.</w:t>
      </w:r>
    </w:p>
    <w:p w:rsidR="00E67E2E" w:rsidRPr="00F00DE8" w:rsidRDefault="00E67E2E" w:rsidP="00E67E2E">
      <w:pPr>
        <w:pStyle w:val="bParagraphtext"/>
        <w:numPr>
          <w:ilvl w:val="0"/>
          <w:numId w:val="0"/>
        </w:numPr>
        <w:ind w:left="426"/>
      </w:pPr>
    </w:p>
    <w:p w:rsidR="00F00DE8" w:rsidRDefault="00F00DE8" w:rsidP="00F00DE8">
      <w:pPr>
        <w:pStyle w:val="Heading1"/>
      </w:pPr>
      <w:r>
        <w:t>Corporate Risk Register – 3</w:t>
      </w:r>
      <w:r w:rsidR="00B759D4">
        <w:t>0</w:t>
      </w:r>
      <w:r>
        <w:t xml:space="preserve"> </w:t>
      </w:r>
      <w:r w:rsidR="00B759D4">
        <w:t xml:space="preserve">November </w:t>
      </w:r>
      <w:r>
        <w:t>2020</w:t>
      </w:r>
    </w:p>
    <w:p w:rsidR="00F00DE8" w:rsidRDefault="00F00DE8" w:rsidP="00F00DE8">
      <w:pPr>
        <w:pStyle w:val="bParagraphtext"/>
      </w:pPr>
      <w:r>
        <w:t>The Audit and Governance Committee receives information on risk on a quarterly basis.  Given the timing of the Committee the C</w:t>
      </w:r>
      <w:r w:rsidRPr="001135F8">
        <w:t xml:space="preserve">orporate Risk Register </w:t>
      </w:r>
      <w:r>
        <w:t xml:space="preserve">attached at </w:t>
      </w:r>
      <w:r w:rsidRPr="001135F8">
        <w:t>Appendix A</w:t>
      </w:r>
      <w:r>
        <w:t xml:space="preserve"> is as at 3</w:t>
      </w:r>
      <w:r w:rsidR="00457108">
        <w:t>0 November</w:t>
      </w:r>
      <w:r>
        <w:t xml:space="preserve">.  </w:t>
      </w:r>
    </w:p>
    <w:p w:rsidR="00F00DE8" w:rsidRDefault="00F00DE8" w:rsidP="00F00DE8">
      <w:pPr>
        <w:pStyle w:val="bParagraphtext"/>
      </w:pPr>
      <w:r>
        <w:t xml:space="preserve">The number of Red risks remains at three as a result of the continuing challenges surrounding the Covid-19 pandemic. </w:t>
      </w:r>
    </w:p>
    <w:p w:rsidR="00E67E2E" w:rsidRDefault="00E67E2E" w:rsidP="00E67E2E">
      <w:pPr>
        <w:pStyle w:val="bParagraphtext"/>
        <w:numPr>
          <w:ilvl w:val="0"/>
          <w:numId w:val="0"/>
        </w:numPr>
        <w:ind w:left="426"/>
      </w:pPr>
    </w:p>
    <w:p w:rsidR="00F00DE8" w:rsidRDefault="00F00DE8" w:rsidP="00E67E2E">
      <w:pPr>
        <w:pStyle w:val="bParagraphtext"/>
      </w:pPr>
      <w:r>
        <w:lastRenderedPageBreak/>
        <w:t xml:space="preserve">Details of the Red risks are as </w:t>
      </w:r>
      <w:r w:rsidR="00E67E2E">
        <w:t>follows:</w:t>
      </w:r>
    </w:p>
    <w:p w:rsidR="00E67E2E" w:rsidRPr="00E67E2E" w:rsidRDefault="00E67E2E" w:rsidP="00E67E2E">
      <w:pPr>
        <w:pStyle w:val="ListParagraph"/>
        <w:numPr>
          <w:ilvl w:val="0"/>
          <w:numId w:val="0"/>
        </w:numPr>
        <w:ind w:left="426"/>
      </w:pPr>
    </w:p>
    <w:p w:rsidR="00F00DE8" w:rsidRPr="00F00DE8" w:rsidRDefault="00F00DE8" w:rsidP="00F00DE8">
      <w:pPr>
        <w:pStyle w:val="Bulletpoints"/>
      </w:pPr>
      <w:r w:rsidRPr="007C04F9">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 This has become more challenging in the short term due to the Covid-19 pandemic which has paused any delivery in the housing supply.</w:t>
      </w:r>
    </w:p>
    <w:p w:rsidR="00F00DE8" w:rsidRPr="00F00DE8" w:rsidRDefault="00F00DE8" w:rsidP="00F00DE8">
      <w:pPr>
        <w:pStyle w:val="Bulletpoints"/>
      </w:pPr>
      <w:r w:rsidRPr="00516995">
        <w:rPr>
          <w:b/>
        </w:rPr>
        <w:t>Economic Growth</w:t>
      </w:r>
      <w:r>
        <w:t xml:space="preserve"> – this relates to local, national or international factors adversely affecting the economic growth of the City. The economic impact of Covid-19 is continuing to affect the livelihoods and jobs of thousands of people in Oxford. Social distancing and economic uncertainties affect consumption on the High Street and the viability of some retail, hospitality and catering businesses. The wider economy is not immune with redundancies being announced by larger employers in other sectors as well as damaging impacts to education, transport, and property, creative and cultural sectors. </w:t>
      </w:r>
      <w:r w:rsidR="008C7F51">
        <w:t xml:space="preserve">Work is continuing to administer the COVID Local Restriction Grants and to plan how best to utilise grant funds to support the local economy and affected businesses. The Council is also communicating with businesses to ensure they understand the need to act on any rule changes for the EU Transition regardless of deal. A joined-up communications approach </w:t>
      </w:r>
      <w:r w:rsidR="00B759D4">
        <w:t xml:space="preserve">county-wide </w:t>
      </w:r>
      <w:r w:rsidR="008C7F51">
        <w:t xml:space="preserve">has been agreed with Councils, OxLEP and the Local </w:t>
      </w:r>
      <w:r w:rsidR="00B759D4">
        <w:t>R</w:t>
      </w:r>
      <w:r w:rsidR="008C7F51">
        <w:t>esilience Forum.</w:t>
      </w:r>
      <w:r>
        <w:t xml:space="preserve"> </w:t>
      </w:r>
    </w:p>
    <w:p w:rsidR="00F00DE8" w:rsidRPr="00E67E2E" w:rsidRDefault="00F00DE8" w:rsidP="00E67E2E">
      <w:pPr>
        <w:pStyle w:val="Bulletpoints"/>
        <w:rPr>
          <w:color w:val="auto"/>
        </w:rPr>
      </w:pPr>
      <w:r w:rsidRPr="00DF5454">
        <w:rPr>
          <w:b/>
        </w:rPr>
        <w:t xml:space="preserve">Balancing &amp; Delivery of the Financial Plan </w:t>
      </w:r>
      <w:r w:rsidRPr="00DF5454">
        <w:t xml:space="preserve">– this risk has become red due to the </w:t>
      </w:r>
      <w:r>
        <w:t>a</w:t>
      </w:r>
      <w:r w:rsidRPr="00DF5454">
        <w:t>dverse financial impacts arising from the covid-19 pa</w:t>
      </w:r>
      <w:r>
        <w:t>n</w:t>
      </w:r>
      <w:r w:rsidRPr="00DF5454">
        <w:t>demic and the economic aftermath</w:t>
      </w:r>
      <w:r>
        <w:t xml:space="preserve">.  The pandemic and the resulting actions necessary to deal with it has led to far reaching economic impacts.  Experts believe that the economy will take years to recover.  There is therefore </w:t>
      </w:r>
      <w:r w:rsidRPr="009A17A3">
        <w:t>considerable financial uncertainty around the current estimates especially around income streams</w:t>
      </w:r>
      <w:r>
        <w:t xml:space="preserve"> which is compounded by additional expenditure needed to support the community through the crisis.  The short term impact </w:t>
      </w:r>
      <w:r w:rsidR="00A50798">
        <w:t xml:space="preserve">was </w:t>
      </w:r>
      <w:r>
        <w:t>mitigated through the use of balances</w:t>
      </w:r>
      <w:r w:rsidR="00A50798">
        <w:t xml:space="preserve"> and </w:t>
      </w:r>
      <w:r>
        <w:t xml:space="preserve">a full reset of budgets </w:t>
      </w:r>
      <w:r w:rsidR="00A50798">
        <w:t xml:space="preserve">was </w:t>
      </w:r>
      <w:r>
        <w:t>reported to Cabinet in December 2020</w:t>
      </w:r>
      <w:r w:rsidR="00A50798">
        <w:t xml:space="preserve"> and approved</w:t>
      </w:r>
      <w:r>
        <w:t>.</w:t>
      </w:r>
    </w:p>
    <w:p w:rsidR="00E67E2E" w:rsidRPr="00E67E2E" w:rsidRDefault="00E67E2E" w:rsidP="00E67E2E">
      <w:pPr>
        <w:pStyle w:val="Bulletpoints"/>
        <w:numPr>
          <w:ilvl w:val="0"/>
          <w:numId w:val="0"/>
        </w:numPr>
        <w:ind w:left="993"/>
        <w:rPr>
          <w:color w:val="auto"/>
        </w:rPr>
      </w:pPr>
    </w:p>
    <w:p w:rsidR="00F00DE8" w:rsidRDefault="00F00DE8" w:rsidP="00F00DE8">
      <w:pPr>
        <w:pStyle w:val="bParagraphtext"/>
      </w:pPr>
      <w:r w:rsidRPr="007756E5">
        <w:t xml:space="preserve">No risks have been closed in the period. </w:t>
      </w:r>
    </w:p>
    <w:p w:rsidR="00E67E2E" w:rsidRPr="00F00DE8" w:rsidRDefault="00E67E2E" w:rsidP="00E67E2E">
      <w:pPr>
        <w:pStyle w:val="bParagraphtext"/>
        <w:numPr>
          <w:ilvl w:val="0"/>
          <w:numId w:val="0"/>
        </w:numPr>
        <w:ind w:left="426"/>
      </w:pPr>
    </w:p>
    <w:p w:rsidR="00F00DE8" w:rsidRPr="00B77C83" w:rsidRDefault="00F00DE8" w:rsidP="00F00DE8">
      <w:pPr>
        <w:pStyle w:val="bParagraphtext"/>
      </w:pPr>
      <w:r w:rsidRPr="00B77C83">
        <w:t xml:space="preserve">The table below shows the </w:t>
      </w:r>
      <w:r>
        <w:t xml:space="preserve">levels of Red, Amber and Green current risks </w:t>
      </w:r>
      <w:r w:rsidRPr="00B77C83">
        <w:t>over the last 12 months.</w:t>
      </w:r>
    </w:p>
    <w:p w:rsidR="00F00DE8" w:rsidRDefault="00F00DE8" w:rsidP="00F00DE8">
      <w:pPr>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F00DE8" w:rsidRPr="000A470B" w:rsidTr="00E67E2E">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Pr="000A470B" w:rsidRDefault="00F00DE8" w:rsidP="00B759D4">
            <w:pPr>
              <w:jc w:val="right"/>
              <w:rPr>
                <w:rFonts w:cs="Arial"/>
                <w:b/>
                <w:bCs/>
              </w:rPr>
            </w:pPr>
            <w:r>
              <w:rPr>
                <w:rFonts w:cs="Arial"/>
                <w:b/>
                <w:bCs/>
              </w:rPr>
              <w:t>Q</w:t>
            </w:r>
            <w:r w:rsidR="00B759D4">
              <w:rPr>
                <w:rFonts w:cs="Arial"/>
                <w:b/>
                <w:bCs/>
              </w:rPr>
              <w:t>4</w:t>
            </w:r>
            <w:r w:rsidRPr="000A470B">
              <w:rPr>
                <w:rFonts w:cs="Arial"/>
                <w:b/>
                <w:bCs/>
              </w:rPr>
              <w:t xml:space="preserve"> 201</w:t>
            </w:r>
            <w:r>
              <w:rPr>
                <w:rFonts w:cs="Arial"/>
                <w:b/>
                <w:bCs/>
              </w:rPr>
              <w:t>9</w:t>
            </w:r>
            <w:r w:rsidRPr="000A470B">
              <w:rPr>
                <w:rFonts w:cs="Arial"/>
                <w:b/>
                <w:bCs/>
              </w:rPr>
              <w:t>/</w:t>
            </w:r>
            <w:r>
              <w:rPr>
                <w:rFonts w:cs="Arial"/>
                <w:b/>
                <w:bCs/>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Pr="000A470B" w:rsidRDefault="00F00DE8" w:rsidP="00B759D4">
            <w:pPr>
              <w:jc w:val="right"/>
              <w:rPr>
                <w:rFonts w:cs="Arial"/>
                <w:b/>
                <w:bCs/>
              </w:rPr>
            </w:pPr>
            <w:r>
              <w:rPr>
                <w:rFonts w:cs="Arial"/>
                <w:b/>
                <w:bCs/>
              </w:rPr>
              <w:t>Q</w:t>
            </w:r>
            <w:r w:rsidR="00B759D4">
              <w:rPr>
                <w:rFonts w:cs="Arial"/>
                <w:b/>
                <w:bCs/>
              </w:rPr>
              <w:t>1</w:t>
            </w:r>
            <w:r w:rsidRPr="000A470B">
              <w:rPr>
                <w:rFonts w:cs="Arial"/>
                <w:b/>
                <w:bCs/>
              </w:rPr>
              <w:t xml:space="preserve"> 20</w:t>
            </w:r>
            <w:r w:rsidR="00B759D4">
              <w:rPr>
                <w:rFonts w:cs="Arial"/>
                <w:b/>
                <w:bCs/>
              </w:rPr>
              <w:t>20</w:t>
            </w:r>
            <w:r w:rsidRPr="000A470B">
              <w:rPr>
                <w:rFonts w:cs="Arial"/>
                <w:b/>
                <w:bCs/>
              </w:rPr>
              <w:t>/</w:t>
            </w:r>
            <w:r>
              <w:rPr>
                <w:rFonts w:cs="Arial"/>
                <w:b/>
                <w:bCs/>
              </w:rPr>
              <w:t>2</w:t>
            </w:r>
            <w:r w:rsidR="00B759D4">
              <w:rPr>
                <w:rFonts w:cs="Arial"/>
                <w:b/>
                <w:bC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Default="00F00DE8" w:rsidP="008D5CD9">
            <w:pPr>
              <w:jc w:val="right"/>
              <w:rPr>
                <w:rFonts w:cs="Arial"/>
                <w:b/>
                <w:bCs/>
              </w:rPr>
            </w:pPr>
            <w:r>
              <w:rPr>
                <w:rFonts w:cs="Arial"/>
                <w:b/>
                <w:bCs/>
              </w:rPr>
              <w:t>Q</w:t>
            </w:r>
            <w:r w:rsidR="00B759D4">
              <w:rPr>
                <w:rFonts w:cs="Arial"/>
                <w:b/>
                <w:bCs/>
              </w:rPr>
              <w:t>2</w:t>
            </w:r>
            <w:r w:rsidRPr="000A470B">
              <w:rPr>
                <w:rFonts w:cs="Arial"/>
                <w:b/>
                <w:bCs/>
              </w:rPr>
              <w:t xml:space="preserve"> </w:t>
            </w:r>
          </w:p>
          <w:p w:rsidR="00F00DE8" w:rsidRPr="000A470B" w:rsidRDefault="00F00DE8" w:rsidP="008D5CD9">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4" w:space="0" w:color="auto"/>
            </w:tcBorders>
            <w:vAlign w:val="center"/>
          </w:tcPr>
          <w:p w:rsidR="00F00DE8" w:rsidRDefault="00F00DE8" w:rsidP="008D5CD9">
            <w:pPr>
              <w:jc w:val="right"/>
              <w:rPr>
                <w:rFonts w:cs="Arial"/>
                <w:b/>
                <w:bCs/>
              </w:rPr>
            </w:pPr>
            <w:r>
              <w:rPr>
                <w:rFonts w:cs="Arial"/>
                <w:b/>
                <w:bCs/>
              </w:rPr>
              <w:t>Q</w:t>
            </w:r>
            <w:r w:rsidR="00B759D4">
              <w:rPr>
                <w:rFonts w:cs="Arial"/>
                <w:b/>
                <w:bCs/>
              </w:rPr>
              <w:t>3</w:t>
            </w:r>
            <w:r w:rsidRPr="000A470B">
              <w:rPr>
                <w:rFonts w:cs="Arial"/>
                <w:b/>
                <w:bCs/>
              </w:rPr>
              <w:t xml:space="preserve"> </w:t>
            </w:r>
          </w:p>
          <w:p w:rsidR="00F00DE8" w:rsidRDefault="00F00DE8" w:rsidP="008D5CD9">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3</w:t>
            </w:r>
          </w:p>
        </w:tc>
        <w:tc>
          <w:tcPr>
            <w:tcW w:w="1276" w:type="dxa"/>
            <w:tcBorders>
              <w:top w:val="single" w:sz="8" w:space="0" w:color="000000"/>
              <w:left w:val="nil"/>
              <w:bottom w:val="single" w:sz="8" w:space="0" w:color="000000"/>
              <w:right w:val="single" w:sz="4" w:space="0" w:color="auto"/>
            </w:tcBorders>
            <w:vAlign w:val="center"/>
          </w:tcPr>
          <w:p w:rsidR="00F00DE8" w:rsidRDefault="00F00DE8" w:rsidP="008D5CD9">
            <w:pPr>
              <w:jc w:val="right"/>
              <w:rPr>
                <w:rFonts w:cs="Arial"/>
              </w:rPr>
            </w:pPr>
            <w:r>
              <w:rPr>
                <w:rFonts w:cs="Arial"/>
              </w:rPr>
              <w:t>3</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10</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8</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9</w:t>
            </w:r>
          </w:p>
        </w:tc>
        <w:tc>
          <w:tcPr>
            <w:tcW w:w="1276" w:type="dxa"/>
            <w:tcBorders>
              <w:top w:val="single" w:sz="8" w:space="0" w:color="000000"/>
              <w:left w:val="nil"/>
              <w:bottom w:val="single" w:sz="8" w:space="0" w:color="000000"/>
              <w:right w:val="single" w:sz="4" w:space="0" w:color="auto"/>
            </w:tcBorders>
            <w:vAlign w:val="center"/>
          </w:tcPr>
          <w:p w:rsidR="00F00DE8" w:rsidRDefault="00B759D4" w:rsidP="00B759D4">
            <w:pPr>
              <w:jc w:val="right"/>
              <w:rPr>
                <w:rFonts w:cs="Arial"/>
              </w:rPr>
            </w:pPr>
            <w:r>
              <w:rPr>
                <w:rFonts w:cs="Arial"/>
              </w:rPr>
              <w:t>7</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B759D4" w:rsidP="00B759D4">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rsidR="00F00DE8" w:rsidRDefault="00B759D4" w:rsidP="00B759D4">
            <w:pPr>
              <w:jc w:val="right"/>
              <w:rPr>
                <w:rFonts w:cs="Arial"/>
              </w:rPr>
            </w:pPr>
            <w:r>
              <w:rPr>
                <w:rFonts w:cs="Arial"/>
              </w:rPr>
              <w:t>2</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F00DE8" w:rsidRPr="000A470B" w:rsidRDefault="00F00DE8" w:rsidP="008D5CD9">
            <w:pPr>
              <w:jc w:val="right"/>
              <w:rPr>
                <w:rFonts w:cs="Arial"/>
              </w:rPr>
            </w:pPr>
          </w:p>
        </w:tc>
      </w:tr>
      <w:tr w:rsidR="00F00DE8" w:rsidRPr="000A470B" w:rsidTr="00E67E2E">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F00DE8" w:rsidRPr="000A470B" w:rsidRDefault="00F00DE8" w:rsidP="008D5CD9">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8D5CD9">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8D5CD9">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8D5CD9">
            <w:pPr>
              <w:jc w:val="right"/>
              <w:rPr>
                <w:rFonts w:cs="Arial"/>
                <w:b/>
                <w:bCs/>
              </w:rPr>
            </w:pPr>
            <w:r>
              <w:rPr>
                <w:rFonts w:cs="Arial"/>
                <w:b/>
                <w:bCs/>
              </w:rPr>
              <w:t>12</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F00DE8" w:rsidRPr="00632FB7" w:rsidRDefault="00F00DE8" w:rsidP="008D5CD9">
            <w:pPr>
              <w:jc w:val="right"/>
              <w:rPr>
                <w:rFonts w:cs="Arial"/>
                <w:b/>
                <w:bCs/>
              </w:rPr>
            </w:pPr>
            <w:r w:rsidRPr="00516995">
              <w:rPr>
                <w:rFonts w:cs="Arial"/>
                <w:b/>
              </w:rPr>
              <w:t>12 </w:t>
            </w:r>
          </w:p>
        </w:tc>
      </w:tr>
    </w:tbl>
    <w:p w:rsidR="00F00DE8" w:rsidRDefault="00F00DE8" w:rsidP="00F00DE8">
      <w:pPr>
        <w:rPr>
          <w:rFonts w:cs="Arial"/>
          <w:b/>
        </w:rPr>
      </w:pPr>
    </w:p>
    <w:p w:rsidR="00F00DE8" w:rsidRPr="00A32A7B" w:rsidRDefault="00F00DE8" w:rsidP="00F00DE8">
      <w:pPr>
        <w:pStyle w:val="Heading1"/>
      </w:pPr>
      <w:r w:rsidRPr="0078409C">
        <w:t>Service Risk Register</w:t>
      </w:r>
      <w:r>
        <w:t>s</w:t>
      </w:r>
    </w:p>
    <w:p w:rsidR="00F00DE8" w:rsidRDefault="00F00DE8" w:rsidP="00F00DE8">
      <w:pPr>
        <w:pStyle w:val="bParagraphtext"/>
      </w:pPr>
      <w:r w:rsidRPr="000D1155">
        <w:t>Each year as part of the service planning process, all service risks are reviewed, those no longer relevant are deleted, and any new ones are added.</w:t>
      </w:r>
      <w:r>
        <w:t xml:space="preserve"> </w:t>
      </w:r>
    </w:p>
    <w:p w:rsidR="00F00DE8" w:rsidRPr="00B53EF8" w:rsidRDefault="00F00DE8" w:rsidP="00F00DE8">
      <w:pPr>
        <w:pStyle w:val="bParagraphtext"/>
      </w:pPr>
      <w:r w:rsidRPr="00B53EF8">
        <w:t xml:space="preserve">The table below shows the number of service risks as at </w:t>
      </w:r>
      <w:r>
        <w:t>3</w:t>
      </w:r>
      <w:r w:rsidR="00B759D4">
        <w:t>0th November</w:t>
      </w:r>
      <w:r>
        <w:t xml:space="preserve"> compared</w:t>
      </w:r>
      <w:r w:rsidRPr="00B53EF8">
        <w:t xml:space="preserve"> with the last 12 months. </w:t>
      </w:r>
    </w:p>
    <w:p w:rsidR="00F00DE8" w:rsidRDefault="00F00DE8" w:rsidP="00F00DE8">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F00DE8" w:rsidRPr="005B360C" w:rsidTr="00E67E2E">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E67E2E">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Default="00F00DE8" w:rsidP="00E67E2E">
            <w:pPr>
              <w:jc w:val="center"/>
              <w:rPr>
                <w:rFonts w:cs="Arial"/>
                <w:b/>
                <w:bCs/>
              </w:rPr>
            </w:pPr>
            <w:r w:rsidRPr="005B360C">
              <w:rPr>
                <w:rFonts w:cs="Arial"/>
                <w:b/>
                <w:bCs/>
              </w:rPr>
              <w:t>Q</w:t>
            </w:r>
            <w:r w:rsidR="00B759D4">
              <w:rPr>
                <w:rFonts w:cs="Arial"/>
                <w:b/>
                <w:bCs/>
              </w:rPr>
              <w:t>4</w:t>
            </w:r>
          </w:p>
          <w:p w:rsidR="00F00DE8" w:rsidRPr="005B360C" w:rsidRDefault="00F00DE8" w:rsidP="00E67E2E">
            <w:pPr>
              <w:jc w:val="center"/>
              <w:rPr>
                <w:rFonts w:cs="Arial"/>
                <w:b/>
                <w:bCs/>
              </w:rPr>
            </w:pPr>
            <w:r w:rsidRPr="005B360C">
              <w:rPr>
                <w:rFonts w:cs="Arial"/>
                <w:b/>
                <w:bCs/>
              </w:rPr>
              <w:t>201</w:t>
            </w:r>
            <w:r>
              <w:rPr>
                <w:rFonts w:cs="Arial"/>
                <w:b/>
                <w:bCs/>
              </w:rPr>
              <w:t>9</w:t>
            </w:r>
            <w:r w:rsidRPr="005B360C">
              <w:rPr>
                <w:rFonts w:cs="Arial"/>
                <w:b/>
                <w:bCs/>
              </w:rPr>
              <w:t>/</w:t>
            </w:r>
            <w:r>
              <w:rPr>
                <w:rFonts w:cs="Arial"/>
                <w:b/>
                <w:bCs/>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7E2E" w:rsidRDefault="00F00DE8" w:rsidP="00E67E2E">
            <w:pPr>
              <w:jc w:val="center"/>
              <w:rPr>
                <w:rFonts w:cs="Arial"/>
                <w:b/>
                <w:bCs/>
              </w:rPr>
            </w:pPr>
            <w:r w:rsidRPr="005B360C">
              <w:rPr>
                <w:rFonts w:cs="Arial"/>
                <w:b/>
                <w:bCs/>
              </w:rPr>
              <w:t>Q</w:t>
            </w:r>
            <w:r w:rsidR="00B759D4">
              <w:rPr>
                <w:rFonts w:cs="Arial"/>
                <w:b/>
                <w:bCs/>
              </w:rPr>
              <w:t>1</w:t>
            </w:r>
          </w:p>
          <w:p w:rsidR="00F00DE8" w:rsidRPr="005B360C" w:rsidRDefault="00F00DE8" w:rsidP="00B759D4">
            <w:pPr>
              <w:jc w:val="center"/>
              <w:rPr>
                <w:rFonts w:cs="Arial"/>
                <w:b/>
                <w:bCs/>
              </w:rPr>
            </w:pPr>
            <w:r w:rsidRPr="005B360C">
              <w:rPr>
                <w:rFonts w:cs="Arial"/>
                <w:b/>
                <w:bCs/>
              </w:rPr>
              <w:t>20</w:t>
            </w:r>
            <w:r w:rsidR="00B759D4">
              <w:rPr>
                <w:rFonts w:cs="Arial"/>
                <w:b/>
                <w:bCs/>
              </w:rPr>
              <w:t>20</w:t>
            </w:r>
            <w:r w:rsidRPr="005B360C">
              <w:rPr>
                <w:rFonts w:cs="Arial"/>
                <w:b/>
                <w:bCs/>
              </w:rPr>
              <w:t>/</w:t>
            </w:r>
            <w:r>
              <w:rPr>
                <w:rFonts w:cs="Arial"/>
                <w:b/>
                <w:bCs/>
              </w:rPr>
              <w:t>2</w:t>
            </w:r>
            <w:r w:rsidR="00B759D4">
              <w:rPr>
                <w:rFonts w:cs="Arial"/>
                <w:b/>
                <w:bCs/>
              </w:rPr>
              <w:t>1</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7E2E" w:rsidRDefault="00F00DE8" w:rsidP="00E67E2E">
            <w:pPr>
              <w:jc w:val="center"/>
              <w:rPr>
                <w:rFonts w:cs="Arial"/>
                <w:b/>
                <w:bCs/>
              </w:rPr>
            </w:pPr>
            <w:r w:rsidRPr="005B360C">
              <w:rPr>
                <w:rFonts w:cs="Arial"/>
                <w:b/>
                <w:bCs/>
              </w:rPr>
              <w:t>Q</w:t>
            </w:r>
            <w:r w:rsidR="00B759D4">
              <w:rPr>
                <w:rFonts w:cs="Arial"/>
                <w:b/>
                <w:bCs/>
              </w:rPr>
              <w:t>2</w:t>
            </w:r>
          </w:p>
          <w:p w:rsidR="00F00DE8" w:rsidRPr="005B360C" w:rsidRDefault="00F00DE8" w:rsidP="00E67E2E">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8" w:space="0" w:color="000000"/>
            </w:tcBorders>
          </w:tcPr>
          <w:p w:rsidR="00F00DE8" w:rsidRDefault="00F00DE8" w:rsidP="00E67E2E">
            <w:pPr>
              <w:jc w:val="center"/>
              <w:rPr>
                <w:rFonts w:cs="Arial"/>
                <w:b/>
                <w:bCs/>
              </w:rPr>
            </w:pPr>
            <w:r>
              <w:rPr>
                <w:rFonts w:cs="Arial"/>
                <w:b/>
                <w:bCs/>
              </w:rPr>
              <w:t>Q</w:t>
            </w:r>
            <w:r w:rsidR="00B759D4">
              <w:rPr>
                <w:rFonts w:cs="Arial"/>
                <w:b/>
                <w:bCs/>
              </w:rPr>
              <w:t>3</w:t>
            </w:r>
          </w:p>
          <w:p w:rsidR="00F00DE8" w:rsidRDefault="00F00DE8" w:rsidP="00E67E2E">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4</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6</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5</w:t>
            </w:r>
          </w:p>
        </w:tc>
        <w:tc>
          <w:tcPr>
            <w:tcW w:w="1276" w:type="dxa"/>
            <w:tcBorders>
              <w:top w:val="single" w:sz="8" w:space="0" w:color="000000"/>
              <w:left w:val="nil"/>
              <w:bottom w:val="single" w:sz="8" w:space="0" w:color="000000"/>
              <w:right w:val="single" w:sz="8" w:space="0" w:color="000000"/>
            </w:tcBorders>
            <w:vAlign w:val="center"/>
          </w:tcPr>
          <w:p w:rsidR="00F00DE8" w:rsidRDefault="008515F3" w:rsidP="008515F3">
            <w:pPr>
              <w:jc w:val="right"/>
              <w:rPr>
                <w:rFonts w:cs="Arial"/>
              </w:rPr>
            </w:pPr>
            <w:r>
              <w:rPr>
                <w:rFonts w:cs="Arial"/>
              </w:rPr>
              <w:t>4</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B759D4">
            <w:pPr>
              <w:jc w:val="right"/>
              <w:rPr>
                <w:rFonts w:cs="Arial"/>
              </w:rPr>
            </w:pPr>
            <w:r>
              <w:rPr>
                <w:rFonts w:cs="Arial"/>
              </w:rPr>
              <w:t>3</w:t>
            </w:r>
            <w:r w:rsidR="00B759D4">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B759D4">
            <w:pPr>
              <w:jc w:val="right"/>
              <w:rPr>
                <w:rFonts w:cs="Arial"/>
              </w:rPr>
            </w:pPr>
            <w:r>
              <w:rPr>
                <w:rFonts w:cs="Arial"/>
              </w:rPr>
              <w:t>3</w:t>
            </w:r>
            <w:r w:rsidR="00B759D4">
              <w:rPr>
                <w:rFonts w:cs="Arial"/>
              </w:rPr>
              <w:t>4</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B759D4">
            <w:pPr>
              <w:jc w:val="right"/>
              <w:rPr>
                <w:rFonts w:cs="Arial"/>
              </w:rPr>
            </w:pPr>
            <w:r>
              <w:rPr>
                <w:rFonts w:cs="Arial"/>
              </w:rPr>
              <w:t>3</w:t>
            </w:r>
            <w:r w:rsidR="00B759D4">
              <w:rPr>
                <w:rFonts w:cs="Arial"/>
              </w:rPr>
              <w:t>8</w:t>
            </w:r>
          </w:p>
        </w:tc>
        <w:tc>
          <w:tcPr>
            <w:tcW w:w="1276" w:type="dxa"/>
            <w:tcBorders>
              <w:top w:val="single" w:sz="8" w:space="0" w:color="000000"/>
              <w:left w:val="nil"/>
              <w:bottom w:val="single" w:sz="8" w:space="0" w:color="000000"/>
              <w:right w:val="single" w:sz="8" w:space="0" w:color="000000"/>
            </w:tcBorders>
            <w:vAlign w:val="center"/>
          </w:tcPr>
          <w:p w:rsidR="00F00DE8" w:rsidRDefault="004866F9" w:rsidP="008515F3">
            <w:pPr>
              <w:jc w:val="right"/>
              <w:rPr>
                <w:rFonts w:cs="Arial"/>
              </w:rPr>
            </w:pPr>
            <w:r>
              <w:rPr>
                <w:rFonts w:cs="Arial"/>
              </w:rPr>
              <w:t>3</w:t>
            </w:r>
            <w:r w:rsidR="008515F3">
              <w:rPr>
                <w:rFonts w:cs="Arial"/>
              </w:rPr>
              <w:t>4</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13</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B759D4">
            <w:pPr>
              <w:jc w:val="right"/>
              <w:rPr>
                <w:rFonts w:cs="Arial"/>
              </w:rPr>
            </w:pPr>
            <w:r>
              <w:rPr>
                <w:rFonts w:cs="Arial"/>
              </w:rPr>
              <w:t>1</w:t>
            </w:r>
            <w:r w:rsidR="00B759D4">
              <w:rPr>
                <w:rFonts w:cs="Arial"/>
              </w:rPr>
              <w:t>1</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7</w:t>
            </w:r>
          </w:p>
        </w:tc>
        <w:tc>
          <w:tcPr>
            <w:tcW w:w="1276" w:type="dxa"/>
            <w:tcBorders>
              <w:top w:val="single" w:sz="8" w:space="0" w:color="000000"/>
              <w:left w:val="nil"/>
              <w:bottom w:val="single" w:sz="8" w:space="0" w:color="000000"/>
              <w:right w:val="single" w:sz="8" w:space="0" w:color="000000"/>
            </w:tcBorders>
            <w:vAlign w:val="center"/>
          </w:tcPr>
          <w:p w:rsidR="00F00DE8" w:rsidRDefault="004866F9" w:rsidP="008D5CD9">
            <w:pPr>
              <w:jc w:val="right"/>
              <w:rPr>
                <w:rFonts w:cs="Arial"/>
              </w:rPr>
            </w:pPr>
            <w:r>
              <w:rPr>
                <w:rFonts w:cs="Arial"/>
              </w:rPr>
              <w:t>14</w:t>
            </w:r>
          </w:p>
        </w:tc>
      </w:tr>
      <w:tr w:rsidR="00F00DE8" w:rsidRPr="005B360C" w:rsidTr="00E67E2E">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F00DE8" w:rsidRPr="005B360C" w:rsidRDefault="00F00DE8" w:rsidP="008D5CD9">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F00DE8" w:rsidRPr="005B360C" w:rsidRDefault="00F00DE8" w:rsidP="008D5CD9">
            <w:pPr>
              <w:jc w:val="right"/>
              <w:rPr>
                <w:rFonts w:cs="Arial"/>
                <w:b/>
                <w:bCs/>
              </w:rPr>
            </w:pPr>
            <w:r>
              <w:rPr>
                <w:rFonts w:cs="Arial"/>
                <w:b/>
                <w:bCs/>
              </w:rPr>
              <w:t>47</w:t>
            </w:r>
          </w:p>
        </w:tc>
        <w:tc>
          <w:tcPr>
            <w:tcW w:w="1084" w:type="dxa"/>
            <w:tcBorders>
              <w:top w:val="nil"/>
              <w:left w:val="nil"/>
              <w:bottom w:val="single" w:sz="8" w:space="0" w:color="000000"/>
              <w:right w:val="single" w:sz="8" w:space="0" w:color="000000"/>
            </w:tcBorders>
            <w:shd w:val="clear" w:color="000000" w:fill="D9D9D9"/>
            <w:vAlign w:val="center"/>
            <w:hideMark/>
          </w:tcPr>
          <w:p w:rsidR="00F00DE8" w:rsidRPr="005B360C" w:rsidRDefault="00B759D4" w:rsidP="00B759D4">
            <w:pPr>
              <w:jc w:val="right"/>
              <w:rPr>
                <w:rFonts w:cs="Arial"/>
                <w:b/>
                <w:bCs/>
              </w:rPr>
            </w:pPr>
            <w:r>
              <w:rPr>
                <w:rFonts w:cs="Arial"/>
                <w:b/>
                <w:bCs/>
              </w:rPr>
              <w:t>51</w:t>
            </w:r>
          </w:p>
        </w:tc>
        <w:tc>
          <w:tcPr>
            <w:tcW w:w="1159" w:type="dxa"/>
            <w:tcBorders>
              <w:top w:val="nil"/>
              <w:left w:val="nil"/>
              <w:bottom w:val="single" w:sz="8" w:space="0" w:color="000000"/>
              <w:right w:val="single" w:sz="8" w:space="0" w:color="000000"/>
            </w:tcBorders>
            <w:shd w:val="clear" w:color="000000" w:fill="D9D9D9"/>
            <w:vAlign w:val="center"/>
            <w:hideMark/>
          </w:tcPr>
          <w:p w:rsidR="00F00DE8" w:rsidRPr="005B360C" w:rsidRDefault="00F00DE8" w:rsidP="00B759D4">
            <w:pPr>
              <w:jc w:val="right"/>
              <w:rPr>
                <w:rFonts w:cs="Arial"/>
                <w:b/>
                <w:bCs/>
              </w:rPr>
            </w:pPr>
            <w:r>
              <w:rPr>
                <w:rFonts w:cs="Arial"/>
                <w:b/>
                <w:bCs/>
              </w:rPr>
              <w:t>5</w:t>
            </w:r>
            <w:r w:rsidR="00B759D4">
              <w:rPr>
                <w:rFonts w:cs="Arial"/>
                <w:b/>
                <w:bCs/>
              </w:rPr>
              <w:t>0</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F00DE8" w:rsidRDefault="004866F9" w:rsidP="008D5CD9">
            <w:pPr>
              <w:jc w:val="right"/>
              <w:rPr>
                <w:rFonts w:cs="Arial"/>
                <w:b/>
              </w:rPr>
            </w:pPr>
            <w:r>
              <w:rPr>
                <w:rFonts w:cs="Arial"/>
                <w:b/>
              </w:rPr>
              <w:t>52</w:t>
            </w:r>
            <w:r w:rsidR="00F00DE8">
              <w:rPr>
                <w:rFonts w:cs="Arial"/>
                <w:b/>
              </w:rPr>
              <w:t xml:space="preserve"> </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r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4</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1</w:t>
            </w:r>
          </w:p>
        </w:tc>
        <w:tc>
          <w:tcPr>
            <w:tcW w:w="1276" w:type="dxa"/>
            <w:tcBorders>
              <w:top w:val="single" w:sz="8" w:space="0" w:color="000000"/>
              <w:left w:val="nil"/>
              <w:bottom w:val="single" w:sz="8" w:space="0" w:color="000000"/>
              <w:right w:val="single" w:sz="8" w:space="0" w:color="000000"/>
            </w:tcBorders>
            <w:vAlign w:val="center"/>
          </w:tcPr>
          <w:p w:rsidR="00F00DE8" w:rsidRDefault="004866F9" w:rsidP="008D5CD9">
            <w:pPr>
              <w:jc w:val="right"/>
              <w:rPr>
                <w:rFonts w:cs="Arial"/>
                <w:bCs/>
              </w:rPr>
            </w:pPr>
            <w:r>
              <w:rPr>
                <w:rFonts w:cs="Arial"/>
                <w:bCs/>
              </w:rPr>
              <w:t>2</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B759D4" w:rsidP="00B759D4">
            <w:pPr>
              <w:jc w:val="right"/>
              <w:rPr>
                <w:rFonts w:cs="Arial"/>
              </w:rPr>
            </w:pPr>
            <w:r>
              <w:rPr>
                <w:rFonts w:cs="Arial"/>
              </w:rPr>
              <w:t>2</w:t>
            </w:r>
          </w:p>
        </w:tc>
        <w:tc>
          <w:tcPr>
            <w:tcW w:w="1276" w:type="dxa"/>
            <w:tcBorders>
              <w:top w:val="single" w:sz="8" w:space="0" w:color="000000"/>
              <w:left w:val="nil"/>
              <w:bottom w:val="single" w:sz="8" w:space="0" w:color="000000"/>
              <w:right w:val="single" w:sz="8" w:space="0" w:color="000000"/>
            </w:tcBorders>
            <w:vAlign w:val="center"/>
          </w:tcPr>
          <w:p w:rsidR="00F00DE8" w:rsidRDefault="004866F9" w:rsidP="008D5CD9">
            <w:pPr>
              <w:jc w:val="right"/>
              <w:rPr>
                <w:rFonts w:cs="Arial"/>
              </w:rPr>
            </w:pPr>
            <w:r>
              <w:rPr>
                <w:rFonts w:cs="Arial"/>
              </w:rPr>
              <w:t>0</w:t>
            </w:r>
          </w:p>
        </w:tc>
      </w:tr>
    </w:tbl>
    <w:p w:rsidR="00F00DE8" w:rsidRDefault="00F00DE8" w:rsidP="00F00DE8">
      <w:pPr>
        <w:rPr>
          <w:rFonts w:cs="Arial"/>
        </w:rPr>
      </w:pPr>
    </w:p>
    <w:p w:rsidR="00F00DE8" w:rsidRPr="00F00DE8" w:rsidRDefault="00F00DE8" w:rsidP="00F00DE8">
      <w:pPr>
        <w:pStyle w:val="bParagraphtext"/>
      </w:pPr>
      <w:r w:rsidRPr="007B753F">
        <w:t>The</w:t>
      </w:r>
      <w:r>
        <w:t xml:space="preserve"> number of Red risks has re</w:t>
      </w:r>
      <w:r w:rsidR="008515F3">
        <w:t>duced to four</w:t>
      </w:r>
      <w:r>
        <w:t xml:space="preserve">. </w:t>
      </w:r>
      <w:r w:rsidR="004866F9">
        <w:t xml:space="preserve">One </w:t>
      </w:r>
      <w:r>
        <w:t xml:space="preserve">former </w:t>
      </w:r>
      <w:r w:rsidR="004866F9">
        <w:t>R</w:t>
      </w:r>
      <w:r>
        <w:t xml:space="preserve">ed risk, </w:t>
      </w:r>
      <w:r w:rsidR="004866F9">
        <w:t>Partnership Working and Devolution has been reduced to Amber</w:t>
      </w:r>
      <w:r w:rsidR="00A50798">
        <w:t>.</w:t>
      </w:r>
    </w:p>
    <w:p w:rsidR="00F00DE8" w:rsidRPr="00F00DE8" w:rsidRDefault="00F00DE8" w:rsidP="00F00DE8">
      <w:pPr>
        <w:pStyle w:val="bParagraphtext"/>
      </w:pPr>
      <w:r>
        <w:t>Details of the Red risks are as follows:</w:t>
      </w:r>
    </w:p>
    <w:p w:rsidR="00F00DE8" w:rsidRPr="00F00DE8" w:rsidRDefault="00F00DE8" w:rsidP="00F00DE8">
      <w:pPr>
        <w:pStyle w:val="Bulletpoints"/>
      </w:pPr>
      <w:r>
        <w:rPr>
          <w:b/>
        </w:rPr>
        <w:t xml:space="preserve">Community Services - </w:t>
      </w:r>
      <w:r>
        <w:t xml:space="preserve">this relates to the non-achievement of Town Hall income targets. Due to the Covid-19 pandemic, the </w:t>
      </w:r>
      <w:r w:rsidR="00554BA2">
        <w:t>projected i</w:t>
      </w:r>
      <w:r>
        <w:t xml:space="preserve">ncome shortfall </w:t>
      </w:r>
      <w:r w:rsidR="002F2AEE">
        <w:t xml:space="preserve">is </w:t>
      </w:r>
      <w:r>
        <w:t>£6</w:t>
      </w:r>
      <w:r w:rsidR="00554BA2">
        <w:t>95</w:t>
      </w:r>
      <w:r>
        <w:t xml:space="preserve">k.  </w:t>
      </w:r>
    </w:p>
    <w:p w:rsidR="00F00DE8" w:rsidRPr="00F00DE8" w:rsidRDefault="00F00DE8" w:rsidP="00F00DE8">
      <w:pPr>
        <w:pStyle w:val="Bulletpoints"/>
      </w:pPr>
      <w:r w:rsidRPr="00516995">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the many on-line meetings is placing excessive pressure and demands on staff and managers. </w:t>
      </w:r>
    </w:p>
    <w:p w:rsidR="00F00DE8" w:rsidRPr="00F00DE8" w:rsidRDefault="00F00DE8" w:rsidP="00F00DE8">
      <w:pPr>
        <w:pStyle w:val="Bulletpoints"/>
      </w:pPr>
      <w:r w:rsidRPr="00FD43E0">
        <w:rPr>
          <w:b/>
        </w:rPr>
        <w:t>Regulatory Services</w:t>
      </w:r>
      <w:r>
        <w:t xml:space="preserve"> – this relates to Public Health Protection. The rise in Covid-19 cases in Oxford </w:t>
      </w:r>
      <w:r w:rsidR="002F2AEE">
        <w:t xml:space="preserve">continues to </w:t>
      </w:r>
      <w:r>
        <w:t xml:space="preserve">cause concern. The response has </w:t>
      </w:r>
      <w:r>
        <w:lastRenderedPageBreak/>
        <w:t>been to increase proactive work including holding regular meetings with the Department of Public Health and developing a Covid Secure Team.</w:t>
      </w:r>
    </w:p>
    <w:p w:rsidR="00F00DE8" w:rsidRPr="00F00DE8" w:rsidRDefault="00F00DE8" w:rsidP="00F00DE8">
      <w:pPr>
        <w:pStyle w:val="Bulletpoints"/>
      </w:pPr>
      <w:r w:rsidRPr="00516995">
        <w:rPr>
          <w:b/>
        </w:rPr>
        <w:t>Housing Services</w:t>
      </w:r>
      <w:r>
        <w:t xml:space="preserve"> – this relates to increased homelessness costs which has been additionally impacted due to the Covid-19 crisis. </w:t>
      </w:r>
    </w:p>
    <w:p w:rsidR="00F00DE8" w:rsidRDefault="00F00DE8" w:rsidP="00F00DE8">
      <w:pPr>
        <w:pStyle w:val="Heading1"/>
      </w:pPr>
      <w:r>
        <w:t>Business Continuity</w:t>
      </w:r>
    </w:p>
    <w:p w:rsidR="00F00DE8" w:rsidRPr="00F00DE8" w:rsidRDefault="00F00DE8" w:rsidP="00F00DE8">
      <w:pPr>
        <w:pStyle w:val="bParagraphtext"/>
      </w:pPr>
      <w:r>
        <w:t xml:space="preserve">The Council continues to respond to the COVID-19 pandemic in compliance with Government guidelines. </w:t>
      </w:r>
      <w:r w:rsidR="001B1DC5">
        <w:t xml:space="preserve">Most </w:t>
      </w:r>
      <w:r>
        <w:t>staff continu</w:t>
      </w:r>
      <w:r w:rsidR="001B1DC5">
        <w:t>e</w:t>
      </w:r>
      <w:r>
        <w:t xml:space="preserve"> to work from home and all work which couldn’t be carried out within Government guidelines has ceased. The locality hubs continue to support vulnerable people and accommodation has been made available for all rough sleepers. </w:t>
      </w:r>
      <w:r w:rsidR="001B1DC5">
        <w:t xml:space="preserve">St Aldates Chambers Customer Service Centre has re-opened offering </w:t>
      </w:r>
      <w:r w:rsidR="002558AA">
        <w:t>residents’</w:t>
      </w:r>
      <w:r w:rsidR="001B1DC5">
        <w:t xml:space="preserve"> face-to-face meeting</w:t>
      </w:r>
      <w:r w:rsidR="002F2AEE">
        <w:t>s</w:t>
      </w:r>
      <w:r w:rsidR="001B1DC5">
        <w:t xml:space="preserve"> with staff. To ensure the protection of both staff and customers, significant Covid-19 health and safety measures have been put in place to ensure Covid</w:t>
      </w:r>
      <w:r w:rsidR="002F2AEE">
        <w:t>-</w:t>
      </w:r>
      <w:r w:rsidR="001B1DC5">
        <w:t>secure meetings.</w:t>
      </w:r>
      <w:r>
        <w:t xml:space="preserve"> </w:t>
      </w:r>
    </w:p>
    <w:p w:rsidR="00F00DE8" w:rsidRPr="00F00DE8" w:rsidRDefault="00F00DE8" w:rsidP="00F00DE8">
      <w:pPr>
        <w:pStyle w:val="bParagraphtext"/>
      </w:pPr>
      <w:r w:rsidRPr="00FB5F64">
        <w:t xml:space="preserve">The Councils plans for Restart, recovery and renewal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Services will continue to deliver and develop effective processes to help mitigate risks to the smooth running and delivery of services, ensuring they can best continue to operate to the extent required in the event of COVID-19 and beyond. These include:</w:t>
      </w:r>
    </w:p>
    <w:p w:rsidR="00F00DE8" w:rsidRPr="00FB5F64" w:rsidRDefault="00F00DE8" w:rsidP="00F00DE8">
      <w:pPr>
        <w:pStyle w:val="Bulletpoints"/>
        <w:rPr>
          <w:rFonts w:cs="Arial"/>
        </w:rPr>
      </w:pPr>
      <w:r w:rsidRPr="00FB5F64">
        <w:t>Task and finish groups</w:t>
      </w:r>
    </w:p>
    <w:p w:rsidR="00F00DE8" w:rsidRPr="00FB5F64" w:rsidRDefault="00F00DE8" w:rsidP="00F00DE8">
      <w:pPr>
        <w:pStyle w:val="Bulletpoints"/>
      </w:pPr>
      <w:r w:rsidRPr="00FB5F64">
        <w:t>Identifying alternative strategies to mitigate further loss and assessing their potential effectiveness in maintaining ability to deliver critical and new - some unknown – service functions</w:t>
      </w:r>
    </w:p>
    <w:p w:rsidR="00F00DE8" w:rsidRPr="00FB5F64" w:rsidRDefault="00F00DE8" w:rsidP="00F00DE8">
      <w:pPr>
        <w:pStyle w:val="Bulletpoints"/>
      </w:pPr>
      <w:r w:rsidRPr="00FB5F64">
        <w:t>Contract variations</w:t>
      </w:r>
    </w:p>
    <w:p w:rsidR="00F00DE8" w:rsidRPr="00FB5F64" w:rsidRDefault="00F00DE8" w:rsidP="00F00DE8">
      <w:pPr>
        <w:pStyle w:val="Bulletpoints"/>
      </w:pPr>
      <w:r w:rsidRPr="00FB5F64">
        <w:t>New ways of working</w:t>
      </w:r>
    </w:p>
    <w:p w:rsidR="00F00DE8" w:rsidRPr="00FB5F64" w:rsidRDefault="00F00DE8" w:rsidP="00F00DE8">
      <w:pPr>
        <w:pStyle w:val="Bulletpoints"/>
      </w:pPr>
      <w:r w:rsidRPr="00FB5F64">
        <w:t>Staff well-being and resilience</w:t>
      </w:r>
    </w:p>
    <w:p w:rsidR="00F00DE8" w:rsidRPr="00FB5F64" w:rsidRDefault="00F00DE8" w:rsidP="00F00DE8">
      <w:pPr>
        <w:pStyle w:val="Bulletpoints"/>
      </w:pPr>
      <w:r w:rsidRPr="00FB5F64">
        <w:t>Service transformation (i.e. using skills and learning to create new structure)</w:t>
      </w:r>
    </w:p>
    <w:p w:rsidR="00F00DE8" w:rsidRPr="00FB5F64" w:rsidRDefault="00F00DE8" w:rsidP="00F00DE8">
      <w:pPr>
        <w:pStyle w:val="Bulletpoints"/>
      </w:pPr>
      <w:r w:rsidRPr="00FB5F64">
        <w:t>Budget review and re-prioritisation</w:t>
      </w:r>
    </w:p>
    <w:p w:rsidR="00F00DE8" w:rsidRPr="00FB5F64" w:rsidRDefault="00F00DE8" w:rsidP="00F00DE8">
      <w:pPr>
        <w:pStyle w:val="Bulletpoints"/>
      </w:pPr>
      <w:r w:rsidRPr="00FB5F64">
        <w:t>Generating new revenue</w:t>
      </w:r>
    </w:p>
    <w:p w:rsidR="00F00DE8" w:rsidRPr="00FB5F64" w:rsidRDefault="00F00DE8" w:rsidP="00F00DE8">
      <w:pPr>
        <w:pStyle w:val="Bulletpoints"/>
      </w:pPr>
      <w:r w:rsidRPr="00FB5F64">
        <w:t>Shielding the most vulnerable</w:t>
      </w:r>
    </w:p>
    <w:p w:rsidR="00F00DE8" w:rsidRPr="00FB5F64" w:rsidRDefault="00F00DE8" w:rsidP="00F00DE8">
      <w:pPr>
        <w:pStyle w:val="Bulletpoints"/>
      </w:pPr>
      <w:r w:rsidRPr="00FB5F64">
        <w:t>Healthy Place Shaping</w:t>
      </w:r>
    </w:p>
    <w:p w:rsidR="00F00DE8" w:rsidRPr="00FB5F64" w:rsidRDefault="00F00DE8" w:rsidP="00F00DE8">
      <w:pPr>
        <w:pStyle w:val="Bulletpoints"/>
      </w:pPr>
      <w:r w:rsidRPr="00FB5F64">
        <w:t>Strengthening and creating new partners</w:t>
      </w:r>
    </w:p>
    <w:p w:rsidR="00F00DE8" w:rsidRDefault="00F00DE8" w:rsidP="00F00DE8">
      <w:pPr>
        <w:pStyle w:val="Bulletpoints"/>
      </w:pPr>
      <w:r w:rsidRPr="00FB5F64">
        <w:t>Transforming the service business plan to help address new challenges and changing needs.</w:t>
      </w:r>
    </w:p>
    <w:p w:rsidR="00BF1377" w:rsidRPr="00FB5F64" w:rsidRDefault="00BF1377" w:rsidP="00BF1377">
      <w:pPr>
        <w:pStyle w:val="Bulletpoints"/>
        <w:numPr>
          <w:ilvl w:val="0"/>
          <w:numId w:val="0"/>
        </w:numPr>
        <w:ind w:left="993" w:hanging="425"/>
      </w:pPr>
    </w:p>
    <w:p w:rsidR="00BF1377" w:rsidRDefault="00BF1377" w:rsidP="00BF1377">
      <w:pPr>
        <w:pStyle w:val="Heading1"/>
      </w:pPr>
      <w:r>
        <w:t>Risk Management</w:t>
      </w:r>
    </w:p>
    <w:p w:rsidR="00BF1377" w:rsidRPr="00A12F26" w:rsidRDefault="003E11C9" w:rsidP="004D319C">
      <w:pPr>
        <w:pStyle w:val="ListParagraph"/>
        <w:rPr>
          <w:rFonts w:cs="Arial"/>
          <w:b/>
        </w:rPr>
      </w:pPr>
      <w:r>
        <w:t xml:space="preserve">Following </w:t>
      </w:r>
      <w:r w:rsidR="00B37625">
        <w:t xml:space="preserve">recommendations outlined in the </w:t>
      </w:r>
      <w:r>
        <w:t xml:space="preserve">Risk Management Audit, </w:t>
      </w:r>
      <w:r w:rsidR="00A45BDA">
        <w:t xml:space="preserve">the following exercises were carried out with the assistance of Zurich. A </w:t>
      </w:r>
      <w:r w:rsidR="00BF1377">
        <w:t xml:space="preserve">review of the Council’s Risk Management Strategy and </w:t>
      </w:r>
      <w:r w:rsidR="00127227">
        <w:t xml:space="preserve">Risk Management </w:t>
      </w:r>
      <w:r w:rsidR="00BF1377">
        <w:t>Operating Framework</w:t>
      </w:r>
      <w:r w:rsidR="00B37625">
        <w:t xml:space="preserve">. This </w:t>
      </w:r>
      <w:r w:rsidR="00A45BDA">
        <w:t>involved condensing t</w:t>
      </w:r>
      <w:r w:rsidR="00127227">
        <w:t xml:space="preserve">he existing Operating Framework and Strategy documents from a combined total of 36 pages into a single document of </w:t>
      </w:r>
      <w:r w:rsidR="002558AA">
        <w:t xml:space="preserve">20 </w:t>
      </w:r>
      <w:r w:rsidR="00127227">
        <w:t xml:space="preserve">pages which </w:t>
      </w:r>
      <w:r w:rsidR="00B37625">
        <w:lastRenderedPageBreak/>
        <w:t>although more concise, still r</w:t>
      </w:r>
      <w:r w:rsidR="00127227">
        <w:t>etain</w:t>
      </w:r>
      <w:r w:rsidR="002558AA">
        <w:t>s</w:t>
      </w:r>
      <w:r w:rsidR="00127227">
        <w:t xml:space="preserve"> all relevant information</w:t>
      </w:r>
      <w:r w:rsidR="00B37625">
        <w:t>,</w:t>
      </w:r>
      <w:r w:rsidR="00127227">
        <w:t xml:space="preserve"> such as the reporting framework within the Council</w:t>
      </w:r>
      <w:r w:rsidR="00B37625">
        <w:t xml:space="preserve">. It has been </w:t>
      </w:r>
      <w:r w:rsidR="002978A2">
        <w:t>re-</w:t>
      </w:r>
      <w:r w:rsidR="00A45BDA">
        <w:t xml:space="preserve">titled the </w:t>
      </w:r>
      <w:r w:rsidR="00D90077">
        <w:t>Risk Management Strategy and Toolkit</w:t>
      </w:r>
      <w:r w:rsidR="002978A2">
        <w:t xml:space="preserve">. </w:t>
      </w:r>
      <w:r w:rsidR="00A12F26">
        <w:t xml:space="preserve">A copy is attached at Appendix B. </w:t>
      </w:r>
      <w:r w:rsidR="003B2BD9">
        <w:t xml:space="preserve">A </w:t>
      </w:r>
      <w:r w:rsidR="002978A2">
        <w:t xml:space="preserve">Risk Management Workshop </w:t>
      </w:r>
      <w:r w:rsidR="00A45BDA">
        <w:t xml:space="preserve">for </w:t>
      </w:r>
      <w:r w:rsidR="00A3554E">
        <w:t>ri</w:t>
      </w:r>
      <w:r w:rsidR="00A45BDA">
        <w:t xml:space="preserve">sk </w:t>
      </w:r>
      <w:r w:rsidR="00A3554E">
        <w:t>o</w:t>
      </w:r>
      <w:r w:rsidR="00A45BDA">
        <w:t xml:space="preserve">wners </w:t>
      </w:r>
      <w:r w:rsidR="00A3554E">
        <w:t>and risk updaters was</w:t>
      </w:r>
      <w:r w:rsidR="002978A2">
        <w:t xml:space="preserve"> </w:t>
      </w:r>
      <w:r w:rsidR="00B37625">
        <w:t>held t</w:t>
      </w:r>
      <w:r w:rsidR="002978A2">
        <w:t>o raise awareness and understanding of risk and risk management</w:t>
      </w:r>
      <w:r w:rsidR="00A45BDA">
        <w:t xml:space="preserve"> and to provide participants with best practice risk management skills, tools and knowledge</w:t>
      </w:r>
      <w:r w:rsidR="00A3554E">
        <w:t>. Following the Risk Management Workshop, a revi</w:t>
      </w:r>
      <w:r w:rsidR="00A45BDA">
        <w:t xml:space="preserve">ew </w:t>
      </w:r>
      <w:r w:rsidR="00A3554E">
        <w:t>of a</w:t>
      </w:r>
      <w:r w:rsidR="00A45BDA">
        <w:t xml:space="preserve">ll Service Risk Registers </w:t>
      </w:r>
      <w:r w:rsidR="00A3554E">
        <w:t xml:space="preserve">was </w:t>
      </w:r>
      <w:r w:rsidR="00A45BDA">
        <w:t xml:space="preserve">carried out </w:t>
      </w:r>
      <w:r w:rsidR="00B37625">
        <w:t>to check risks were worded correctly and ensure that mitigating controls are SMART</w:t>
      </w:r>
      <w:r w:rsidR="00A45BDA">
        <w:t>.</w:t>
      </w:r>
      <w:r w:rsidR="00906BD8" w:rsidRPr="00906BD8">
        <w:t xml:space="preserve"> </w:t>
      </w:r>
      <w:r w:rsidR="00906BD8">
        <w:t xml:space="preserve">Following the review, feedback was provided to each </w:t>
      </w:r>
      <w:r w:rsidR="00EB2D74">
        <w:t xml:space="preserve">individual </w:t>
      </w:r>
      <w:r w:rsidR="00906BD8">
        <w:t xml:space="preserve">Service Area. </w:t>
      </w:r>
      <w:r w:rsidR="00A12F26">
        <w:t xml:space="preserve">In order to monitor and ensure that </w:t>
      </w:r>
      <w:r w:rsidR="00DB60B0">
        <w:t xml:space="preserve">there is a clear and consistent approach to the management of risk across the organisation, between services and between corporate and service levels, </w:t>
      </w:r>
      <w:r w:rsidR="00A12F26">
        <w:t>the Risk Management Group will be implementing the following action plan</w:t>
      </w:r>
      <w:r w:rsidR="00DB60B0">
        <w:t xml:space="preserve"> during 2021</w:t>
      </w:r>
      <w:r w:rsidR="00A12F26">
        <w:t xml:space="preserve">:- </w:t>
      </w:r>
    </w:p>
    <w:p w:rsidR="00A12F26" w:rsidRPr="00A12F26" w:rsidRDefault="00A12F26" w:rsidP="00A12F26">
      <w:pPr>
        <w:pStyle w:val="ListParagraph"/>
        <w:numPr>
          <w:ilvl w:val="2"/>
          <w:numId w:val="49"/>
        </w:numPr>
        <w:rPr>
          <w:color w:val="auto"/>
          <w:sz w:val="22"/>
          <w:szCs w:val="22"/>
        </w:rPr>
      </w:pPr>
      <w:r>
        <w:t>Review of Corporate Risk Register - Risk Management Group and Operational Delivery Group Q1 2021</w:t>
      </w:r>
    </w:p>
    <w:p w:rsidR="00A12F26" w:rsidRDefault="00A12F26" w:rsidP="00A12F26">
      <w:pPr>
        <w:pStyle w:val="ListParagraph"/>
        <w:numPr>
          <w:ilvl w:val="2"/>
          <w:numId w:val="49"/>
        </w:numPr>
      </w:pPr>
      <w:r>
        <w:t>Sample check review of risks in connection with projects – RMG</w:t>
      </w:r>
    </w:p>
    <w:p w:rsidR="00A12F26" w:rsidRDefault="00A12F26" w:rsidP="00A12F26">
      <w:pPr>
        <w:pStyle w:val="ListParagraph"/>
        <w:numPr>
          <w:ilvl w:val="2"/>
          <w:numId w:val="49"/>
        </w:numPr>
      </w:pPr>
      <w:r>
        <w:t>Sample check review of service risks – RMG</w:t>
      </w:r>
    </w:p>
    <w:p w:rsidR="00A12F26" w:rsidRDefault="00A12F26" w:rsidP="00A12F26">
      <w:pPr>
        <w:pStyle w:val="ListParagraph"/>
        <w:numPr>
          <w:ilvl w:val="2"/>
          <w:numId w:val="49"/>
        </w:numPr>
      </w:pPr>
      <w:r>
        <w:t>Review of risk in companies and joint ventures - RMG Q1 2021</w:t>
      </w:r>
    </w:p>
    <w:p w:rsidR="00A12F26" w:rsidRDefault="00A12F26" w:rsidP="00A12F26">
      <w:pPr>
        <w:pStyle w:val="ListParagraph"/>
        <w:numPr>
          <w:ilvl w:val="2"/>
          <w:numId w:val="49"/>
        </w:numPr>
      </w:pPr>
      <w:r>
        <w:t>Review all Red Risks on a quarterly basis - RMG</w:t>
      </w:r>
    </w:p>
    <w:p w:rsidR="00BF1377" w:rsidRDefault="00BF1377" w:rsidP="00F00DE8">
      <w:pPr>
        <w:rPr>
          <w:rFonts w:cs="Arial"/>
          <w:b/>
        </w:rPr>
      </w:pPr>
    </w:p>
    <w:p w:rsidR="00F00DE8" w:rsidRDefault="00F00DE8" w:rsidP="00F00DE8">
      <w:pPr>
        <w:rPr>
          <w:rFonts w:cs="Arial"/>
          <w:b/>
        </w:rPr>
      </w:pPr>
      <w:r>
        <w:rPr>
          <w:rFonts w:cs="Arial"/>
          <w:b/>
        </w:rPr>
        <w:t xml:space="preserve">Climate Change/Environmental Impact </w:t>
      </w:r>
    </w:p>
    <w:p w:rsidR="00F00DE8" w:rsidRPr="00F00DE8" w:rsidRDefault="00F00DE8" w:rsidP="00F00DE8">
      <w:pPr>
        <w:pStyle w:val="bParagraphtext"/>
      </w:pPr>
      <w:r w:rsidRPr="008B29A7">
        <w:t xml:space="preserve">There are no </w:t>
      </w:r>
      <w:r>
        <w:t xml:space="preserve">specific </w:t>
      </w:r>
      <w:r w:rsidRPr="008B29A7">
        <w:t>impacts arising directly from this report</w:t>
      </w:r>
    </w:p>
    <w:p w:rsidR="00F00DE8" w:rsidRPr="00F00DE8" w:rsidRDefault="00F00DE8" w:rsidP="00F00DE8">
      <w:pPr>
        <w:pStyle w:val="Heading1"/>
      </w:pPr>
      <w:r>
        <w:t>Equalities Impact</w:t>
      </w:r>
    </w:p>
    <w:p w:rsidR="00F00DE8" w:rsidRPr="00F00DE8" w:rsidRDefault="00F00DE8" w:rsidP="00F00DE8">
      <w:pPr>
        <w:pStyle w:val="bParagraphtext"/>
      </w:pPr>
      <w:r w:rsidRPr="007B753F">
        <w:t xml:space="preserve">There are no </w:t>
      </w:r>
      <w:r>
        <w:t xml:space="preserve">equalities impacts </w:t>
      </w:r>
      <w:r w:rsidRPr="007B753F">
        <w:t xml:space="preserve">arising directly from this report. </w:t>
      </w:r>
    </w:p>
    <w:p w:rsidR="00F00DE8" w:rsidRPr="00F00DE8" w:rsidRDefault="00F00DE8" w:rsidP="00F00DE8">
      <w:pPr>
        <w:pStyle w:val="Heading1"/>
      </w:pPr>
      <w:r>
        <w:t xml:space="preserve">Financial </w:t>
      </w:r>
      <w:r w:rsidRPr="005044C6">
        <w:t>Implications</w:t>
      </w:r>
    </w:p>
    <w:p w:rsidR="00F00DE8" w:rsidRPr="00F00DE8" w:rsidRDefault="00F00DE8" w:rsidP="00F00DE8">
      <w:pPr>
        <w:pStyle w:val="bParagraphtext"/>
      </w:pPr>
      <w:r>
        <w:t>There are no financial implications arising directly from this report.</w:t>
      </w:r>
    </w:p>
    <w:p w:rsidR="00F00DE8" w:rsidRPr="00F00DE8" w:rsidRDefault="00F00DE8" w:rsidP="00F00DE8">
      <w:pPr>
        <w:pStyle w:val="Heading1"/>
      </w:pPr>
      <w:r>
        <w:t xml:space="preserve">Legal Implications </w:t>
      </w:r>
    </w:p>
    <w:p w:rsidR="00F00DE8" w:rsidRPr="007232A2" w:rsidRDefault="00F00DE8" w:rsidP="00F00DE8">
      <w:pPr>
        <w:pStyle w:val="bParagraphtext"/>
      </w:pPr>
      <w:r>
        <w:t>There are no legal implications directly relevant to this report but having proper arrangements to manage risk throughout the organisation is an important component of good corporate governance and good business management.  There are some legal issues that may arise going forward in the business continuity process but these will be managed on a case by case basis.</w:t>
      </w:r>
    </w:p>
    <w:p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67E2E"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67E2E"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67E2E" w:rsidP="00244B5A">
            <w:r>
              <w:rPr>
                <w:lang w:val="de-DE"/>
              </w:rPr>
              <w:t>01865 252048</w:t>
            </w:r>
            <w:r w:rsidRPr="0098273F">
              <w:rPr>
                <w:lang w:val="de-DE"/>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rsidR="00E67E2E" w:rsidRDefault="00E67E2E" w:rsidP="004A6D2F"/>
    <w:p w:rsidR="00E67E2E" w:rsidRPr="00FC5E6D" w:rsidRDefault="00E67E2E" w:rsidP="004A6D2F">
      <w:pPr>
        <w:rPr>
          <w:rFonts w:cs="Arial"/>
          <w:b/>
          <w:bCs/>
        </w:rPr>
      </w:pPr>
      <w:r>
        <w:rPr>
          <w:rFonts w:cs="Arial"/>
          <w:b/>
          <w:bCs/>
        </w:rPr>
        <w:t>List of background papers: None.</w:t>
      </w:r>
    </w:p>
    <w:sectPr w:rsidR="00E67E2E" w:rsidRPr="00FC5E6D"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3B" w:rsidRDefault="007A143B" w:rsidP="004A6D2F">
      <w:r>
        <w:separator/>
      </w:r>
    </w:p>
  </w:endnote>
  <w:endnote w:type="continuationSeparator" w:id="0">
    <w:p w:rsidR="007A143B" w:rsidRDefault="007A143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3B" w:rsidRDefault="007A143B" w:rsidP="004A6D2F">
      <w:r>
        <w:separator/>
      </w:r>
    </w:p>
  </w:footnote>
  <w:footnote w:type="continuationSeparator" w:id="0">
    <w:p w:rsidR="007A143B" w:rsidRDefault="007A143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0853"/>
    <w:multiLevelType w:val="hybridMultilevel"/>
    <w:tmpl w:val="7D16269C"/>
    <w:lvl w:ilvl="0" w:tplc="0809000F">
      <w:start w:val="1"/>
      <w:numFmt w:val="decimal"/>
      <w:lvlText w:val="%1."/>
      <w:lvlJc w:val="left"/>
      <w:pPr>
        <w:ind w:left="1495" w:hanging="360"/>
      </w:pPr>
      <w:rPr>
        <w:rFonts w:hint="default"/>
        <w:b w:val="0"/>
      </w:rPr>
    </w:lvl>
    <w:lvl w:ilvl="1" w:tplc="A6522E3E">
      <w:start w:val="1"/>
      <w:numFmt w:val="bullet"/>
      <w:lvlText w:val=""/>
      <w:lvlJc w:val="left"/>
      <w:pPr>
        <w:ind w:left="2215" w:hanging="360"/>
      </w:pPr>
      <w:rPr>
        <w:rFonts w:ascii="Symbol" w:hAnsi="Symbol" w:hint="default"/>
        <w:color w:val="auto"/>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6D724C2"/>
    <w:multiLevelType w:val="hybridMultilevel"/>
    <w:tmpl w:val="D95E99E2"/>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6E07F6E"/>
    <w:multiLevelType w:val="hybridMultilevel"/>
    <w:tmpl w:val="338E1ECE"/>
    <w:lvl w:ilvl="0" w:tplc="0809000F">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800BCC"/>
    <w:multiLevelType w:val="hybridMultilevel"/>
    <w:tmpl w:val="646C0696"/>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18356878"/>
    <w:multiLevelType w:val="hybridMultilevel"/>
    <w:tmpl w:val="F2AEA086"/>
    <w:lvl w:ilvl="0" w:tplc="08090001">
      <w:start w:val="1"/>
      <w:numFmt w:val="bullet"/>
      <w:lvlText w:val=""/>
      <w:lvlJc w:val="left"/>
      <w:pPr>
        <w:tabs>
          <w:tab w:val="num" w:pos="1800"/>
        </w:tabs>
        <w:ind w:left="1800" w:hanging="360"/>
      </w:pPr>
      <w:rPr>
        <w:rFonts w:ascii="Symbol" w:hAnsi="Symbol" w:hint="default"/>
        <w:i w:val="0"/>
      </w:rPr>
    </w:lvl>
    <w:lvl w:ilvl="1" w:tplc="D438E596">
      <w:start w:val="518"/>
      <w:numFmt w:val="decimal"/>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1B594DA5"/>
    <w:multiLevelType w:val="hybridMultilevel"/>
    <w:tmpl w:val="F27C47E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2" w15:restartNumberingAfterBreak="0">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980FC5"/>
    <w:multiLevelType w:val="hybridMultilevel"/>
    <w:tmpl w:val="F606F74C"/>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A68E2D16">
      <w:start w:val="1"/>
      <w:numFmt w:val="lowerLetter"/>
      <w:lvlText w:val="%3)"/>
      <w:lvlJc w:val="left"/>
      <w:pPr>
        <w:ind w:left="2890" w:hanging="550"/>
      </w:pPr>
      <w:rPr>
        <w:rFonts w:hint="default"/>
        <w:color w:val="000000"/>
        <w:sz w:val="24"/>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2263A6A"/>
    <w:multiLevelType w:val="multilevel"/>
    <w:tmpl w:val="43D6D2FA"/>
    <w:numStyleLink w:val="StyleBulletedSymbolsymbolLeft063cmHanging063cm"/>
  </w:abstractNum>
  <w:abstractNum w:abstractNumId="26"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DE25A4"/>
    <w:multiLevelType w:val="hybridMultilevel"/>
    <w:tmpl w:val="723E1B6A"/>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8" w15:restartNumberingAfterBreak="0">
    <w:nsid w:val="37A73600"/>
    <w:multiLevelType w:val="hybridMultilevel"/>
    <w:tmpl w:val="C8DEA0E2"/>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C93A24"/>
    <w:multiLevelType w:val="hybridMultilevel"/>
    <w:tmpl w:val="88604778"/>
    <w:lvl w:ilvl="0" w:tplc="08090003">
      <w:start w:val="1"/>
      <w:numFmt w:val="bullet"/>
      <w:lvlText w:val="o"/>
      <w:lvlJc w:val="left"/>
      <w:pPr>
        <w:tabs>
          <w:tab w:val="num" w:pos="1560"/>
        </w:tabs>
        <w:ind w:left="1560" w:hanging="360"/>
      </w:pPr>
      <w:rPr>
        <w:rFonts w:ascii="Courier New" w:hAnsi="Courier New" w:cs="Courier New" w:hint="default"/>
        <w:i w:val="0"/>
      </w:rPr>
    </w:lvl>
    <w:lvl w:ilvl="1" w:tplc="08090019">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BA5FD8"/>
    <w:multiLevelType w:val="multilevel"/>
    <w:tmpl w:val="43D6D2FA"/>
    <w:numStyleLink w:val="StyleBulletedSymbolsymbolLeft063cmHanging063cm"/>
  </w:abstractNum>
  <w:abstractNum w:abstractNumId="3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C513C4"/>
    <w:multiLevelType w:val="hybridMultilevel"/>
    <w:tmpl w:val="7692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A22831"/>
    <w:multiLevelType w:val="multilevel"/>
    <w:tmpl w:val="43D6D2FA"/>
    <w:numStyleLink w:val="StyleBulletedSymbolsymbolLeft063cmHanging063cm"/>
  </w:abstractNum>
  <w:abstractNum w:abstractNumId="42" w15:restartNumberingAfterBreak="0">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67ED38E7"/>
    <w:multiLevelType w:val="hybridMultilevel"/>
    <w:tmpl w:val="9354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8365C6"/>
    <w:multiLevelType w:val="multilevel"/>
    <w:tmpl w:val="E67CE66C"/>
    <w:numStyleLink w:val="StyleNumberedLeft0cmHanging075cm"/>
  </w:abstractNum>
  <w:num w:numId="1">
    <w:abstractNumId w:val="37"/>
  </w:num>
  <w:num w:numId="2">
    <w:abstractNumId w:val="45"/>
  </w:num>
  <w:num w:numId="3">
    <w:abstractNumId w:val="32"/>
  </w:num>
  <w:num w:numId="4">
    <w:abstractNumId w:val="26"/>
  </w:num>
  <w:num w:numId="5">
    <w:abstractNumId w:val="39"/>
  </w:num>
  <w:num w:numId="6">
    <w:abstractNumId w:val="47"/>
  </w:num>
  <w:num w:numId="7">
    <w:abstractNumId w:val="31"/>
  </w:num>
  <w:num w:numId="8">
    <w:abstractNumId w:val="29"/>
  </w:num>
  <w:num w:numId="9">
    <w:abstractNumId w:val="16"/>
  </w:num>
  <w:num w:numId="10">
    <w:abstractNumId w:val="23"/>
  </w:num>
  <w:num w:numId="11">
    <w:abstractNumId w:val="35"/>
  </w:num>
  <w:num w:numId="12">
    <w:abstractNumId w:val="33"/>
  </w:num>
  <w:num w:numId="13">
    <w:abstractNumId w:val="11"/>
  </w:num>
  <w:num w:numId="14">
    <w:abstractNumId w:val="48"/>
    <w:lvlOverride w:ilvl="0">
      <w:lvl w:ilvl="0">
        <w:start w:val="1"/>
        <w:numFmt w:val="decimal"/>
        <w:pStyle w:val="ListParagraph"/>
        <w:lvlText w:val="%1."/>
        <w:lvlJc w:val="left"/>
        <w:pPr>
          <w:ind w:left="360" w:hanging="360"/>
        </w:pPr>
        <w:rPr>
          <w:rFonts w:ascii="Arial" w:hAnsi="Arial"/>
          <w:b/>
          <w:color w:val="000000"/>
          <w:sz w:val="24"/>
        </w:rPr>
      </w:lvl>
    </w:lvlOverride>
  </w:num>
  <w:num w:numId="15">
    <w:abstractNumId w:val="24"/>
  </w:num>
  <w:num w:numId="16">
    <w:abstractNumId w:val="12"/>
  </w:num>
  <w:num w:numId="17">
    <w:abstractNumId w:val="38"/>
  </w:num>
  <w:num w:numId="18">
    <w:abstractNumId w:val="13"/>
  </w:num>
  <w:num w:numId="19">
    <w:abstractNumId w:val="41"/>
  </w:num>
  <w:num w:numId="20">
    <w:abstractNumId w:val="25"/>
  </w:num>
  <w:num w:numId="21">
    <w:abstractNumId w:val="30"/>
  </w:num>
  <w:num w:numId="22">
    <w:abstractNumId w:val="17"/>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2"/>
  </w:num>
  <w:num w:numId="35">
    <w:abstractNumId w:val="27"/>
  </w:num>
  <w:num w:numId="36">
    <w:abstractNumId w:val="18"/>
  </w:num>
  <w:num w:numId="37">
    <w:abstractNumId w:val="20"/>
  </w:num>
  <w:num w:numId="38">
    <w:abstractNumId w:val="22"/>
  </w:num>
  <w:num w:numId="39">
    <w:abstractNumId w:val="19"/>
  </w:num>
  <w:num w:numId="40">
    <w:abstractNumId w:val="36"/>
  </w:num>
  <w:num w:numId="41">
    <w:abstractNumId w:val="15"/>
  </w:num>
  <w:num w:numId="42">
    <w:abstractNumId w:val="28"/>
  </w:num>
  <w:num w:numId="43">
    <w:abstractNumId w:val="14"/>
  </w:num>
  <w:num w:numId="44">
    <w:abstractNumId w:val="46"/>
  </w:num>
  <w:num w:numId="45">
    <w:abstractNumId w:val="34"/>
  </w:num>
  <w:num w:numId="46">
    <w:abstractNumId w:val="10"/>
  </w:num>
  <w:num w:numId="47">
    <w:abstractNumId w:val="43"/>
  </w:num>
  <w:num w:numId="48">
    <w:abstractNumId w:val="21"/>
  </w:num>
  <w:num w:numId="49">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27227"/>
    <w:rsid w:val="001356F1"/>
    <w:rsid w:val="00136994"/>
    <w:rsid w:val="0014128E"/>
    <w:rsid w:val="00151888"/>
    <w:rsid w:val="00170A2D"/>
    <w:rsid w:val="001808BC"/>
    <w:rsid w:val="00182B81"/>
    <w:rsid w:val="0018619D"/>
    <w:rsid w:val="001A011E"/>
    <w:rsid w:val="001A066A"/>
    <w:rsid w:val="001A13E6"/>
    <w:rsid w:val="001A5731"/>
    <w:rsid w:val="001B1DC5"/>
    <w:rsid w:val="001B42C3"/>
    <w:rsid w:val="001C5D5E"/>
    <w:rsid w:val="001D678D"/>
    <w:rsid w:val="001E03F8"/>
    <w:rsid w:val="001E3376"/>
    <w:rsid w:val="002069B3"/>
    <w:rsid w:val="002329CF"/>
    <w:rsid w:val="00232F5B"/>
    <w:rsid w:val="00240D65"/>
    <w:rsid w:val="00244B5A"/>
    <w:rsid w:val="00247C29"/>
    <w:rsid w:val="002558AA"/>
    <w:rsid w:val="00260467"/>
    <w:rsid w:val="00263EA3"/>
    <w:rsid w:val="00284F85"/>
    <w:rsid w:val="00290915"/>
    <w:rsid w:val="002978A2"/>
    <w:rsid w:val="002A22E2"/>
    <w:rsid w:val="002C64F7"/>
    <w:rsid w:val="002F2AEE"/>
    <w:rsid w:val="002F41F2"/>
    <w:rsid w:val="00301BF3"/>
    <w:rsid w:val="0030208D"/>
    <w:rsid w:val="00323418"/>
    <w:rsid w:val="003357BF"/>
    <w:rsid w:val="00364FAD"/>
    <w:rsid w:val="0036738F"/>
    <w:rsid w:val="0036759C"/>
    <w:rsid w:val="00367AE5"/>
    <w:rsid w:val="00367D71"/>
    <w:rsid w:val="0038150A"/>
    <w:rsid w:val="0039227C"/>
    <w:rsid w:val="003B2BD9"/>
    <w:rsid w:val="003B6E75"/>
    <w:rsid w:val="003D0379"/>
    <w:rsid w:val="003D2574"/>
    <w:rsid w:val="003D4C59"/>
    <w:rsid w:val="003E11C9"/>
    <w:rsid w:val="003F4267"/>
    <w:rsid w:val="00404032"/>
    <w:rsid w:val="0040736F"/>
    <w:rsid w:val="00412C1F"/>
    <w:rsid w:val="00421CB2"/>
    <w:rsid w:val="004268B9"/>
    <w:rsid w:val="00433B96"/>
    <w:rsid w:val="004440F1"/>
    <w:rsid w:val="004456DD"/>
    <w:rsid w:val="00446CDF"/>
    <w:rsid w:val="004521B7"/>
    <w:rsid w:val="00457108"/>
    <w:rsid w:val="00462AB5"/>
    <w:rsid w:val="00465EAF"/>
    <w:rsid w:val="004738C5"/>
    <w:rsid w:val="004866F9"/>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4BA2"/>
    <w:rsid w:val="005570B5"/>
    <w:rsid w:val="00567E18"/>
    <w:rsid w:val="0057245F"/>
    <w:rsid w:val="00575F5F"/>
    <w:rsid w:val="00581805"/>
    <w:rsid w:val="00585F76"/>
    <w:rsid w:val="005A2220"/>
    <w:rsid w:val="005A34E4"/>
    <w:rsid w:val="005B17F2"/>
    <w:rsid w:val="005B5C86"/>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645"/>
    <w:rsid w:val="006969E7"/>
    <w:rsid w:val="006A3643"/>
    <w:rsid w:val="006C2A29"/>
    <w:rsid w:val="006C64CF"/>
    <w:rsid w:val="006D17B1"/>
    <w:rsid w:val="006D708A"/>
    <w:rsid w:val="006E14C1"/>
    <w:rsid w:val="006F0292"/>
    <w:rsid w:val="006F1CD2"/>
    <w:rsid w:val="006F416B"/>
    <w:rsid w:val="006F519B"/>
    <w:rsid w:val="00713675"/>
    <w:rsid w:val="00715823"/>
    <w:rsid w:val="00737B93"/>
    <w:rsid w:val="00745BF0"/>
    <w:rsid w:val="007615FE"/>
    <w:rsid w:val="0076655C"/>
    <w:rsid w:val="007742DC"/>
    <w:rsid w:val="00791437"/>
    <w:rsid w:val="007A143B"/>
    <w:rsid w:val="007B0C2C"/>
    <w:rsid w:val="007B278E"/>
    <w:rsid w:val="007C1201"/>
    <w:rsid w:val="007C5C23"/>
    <w:rsid w:val="007D69A7"/>
    <w:rsid w:val="007E2A26"/>
    <w:rsid w:val="007E7424"/>
    <w:rsid w:val="007F2348"/>
    <w:rsid w:val="00803F07"/>
    <w:rsid w:val="0080749A"/>
    <w:rsid w:val="00821AAF"/>
    <w:rsid w:val="00821FB8"/>
    <w:rsid w:val="00822ACD"/>
    <w:rsid w:val="00851285"/>
    <w:rsid w:val="008515F3"/>
    <w:rsid w:val="00855C66"/>
    <w:rsid w:val="00871EE4"/>
    <w:rsid w:val="008B293F"/>
    <w:rsid w:val="008B7371"/>
    <w:rsid w:val="008C7F51"/>
    <w:rsid w:val="008D3DDB"/>
    <w:rsid w:val="008F573F"/>
    <w:rsid w:val="009034EC"/>
    <w:rsid w:val="00906BD8"/>
    <w:rsid w:val="0093067A"/>
    <w:rsid w:val="00941C60"/>
    <w:rsid w:val="00954695"/>
    <w:rsid w:val="00966D42"/>
    <w:rsid w:val="00971689"/>
    <w:rsid w:val="00973E90"/>
    <w:rsid w:val="00975B07"/>
    <w:rsid w:val="00980B4A"/>
    <w:rsid w:val="009B4032"/>
    <w:rsid w:val="009E3D0A"/>
    <w:rsid w:val="009E51FC"/>
    <w:rsid w:val="009F1D28"/>
    <w:rsid w:val="009F7618"/>
    <w:rsid w:val="00A04D23"/>
    <w:rsid w:val="00A06766"/>
    <w:rsid w:val="00A12F26"/>
    <w:rsid w:val="00A13765"/>
    <w:rsid w:val="00A21B12"/>
    <w:rsid w:val="00A23F80"/>
    <w:rsid w:val="00A26C84"/>
    <w:rsid w:val="00A3554E"/>
    <w:rsid w:val="00A44635"/>
    <w:rsid w:val="00A45BDA"/>
    <w:rsid w:val="00A46E98"/>
    <w:rsid w:val="00A50798"/>
    <w:rsid w:val="00A6352B"/>
    <w:rsid w:val="00A701B5"/>
    <w:rsid w:val="00A714BB"/>
    <w:rsid w:val="00A86A90"/>
    <w:rsid w:val="00A92D8F"/>
    <w:rsid w:val="00AB2988"/>
    <w:rsid w:val="00AB7999"/>
    <w:rsid w:val="00AD3292"/>
    <w:rsid w:val="00AE7AF0"/>
    <w:rsid w:val="00B37625"/>
    <w:rsid w:val="00B500CA"/>
    <w:rsid w:val="00B558E1"/>
    <w:rsid w:val="00B759D4"/>
    <w:rsid w:val="00B7799F"/>
    <w:rsid w:val="00B86314"/>
    <w:rsid w:val="00BA1C2E"/>
    <w:rsid w:val="00BC200B"/>
    <w:rsid w:val="00BC4756"/>
    <w:rsid w:val="00BC69A4"/>
    <w:rsid w:val="00BE0680"/>
    <w:rsid w:val="00BE305F"/>
    <w:rsid w:val="00BE7BA3"/>
    <w:rsid w:val="00BF1377"/>
    <w:rsid w:val="00BF5682"/>
    <w:rsid w:val="00BF7B09"/>
    <w:rsid w:val="00C0541B"/>
    <w:rsid w:val="00C20A95"/>
    <w:rsid w:val="00C249C2"/>
    <w:rsid w:val="00C2692F"/>
    <w:rsid w:val="00C3207C"/>
    <w:rsid w:val="00C400E1"/>
    <w:rsid w:val="00C41187"/>
    <w:rsid w:val="00C63C31"/>
    <w:rsid w:val="00C66C05"/>
    <w:rsid w:val="00C757A0"/>
    <w:rsid w:val="00C760DE"/>
    <w:rsid w:val="00C82630"/>
    <w:rsid w:val="00C85B4E"/>
    <w:rsid w:val="00C907F7"/>
    <w:rsid w:val="00CA2103"/>
    <w:rsid w:val="00CB6B99"/>
    <w:rsid w:val="00CE02B6"/>
    <w:rsid w:val="00CE4C87"/>
    <w:rsid w:val="00CE544A"/>
    <w:rsid w:val="00D11E1C"/>
    <w:rsid w:val="00D160B0"/>
    <w:rsid w:val="00D17F94"/>
    <w:rsid w:val="00D223FC"/>
    <w:rsid w:val="00D26D1E"/>
    <w:rsid w:val="00D474CF"/>
    <w:rsid w:val="00D5547E"/>
    <w:rsid w:val="00D6683E"/>
    <w:rsid w:val="00D90077"/>
    <w:rsid w:val="00D90A28"/>
    <w:rsid w:val="00DA413F"/>
    <w:rsid w:val="00DA4584"/>
    <w:rsid w:val="00DA614B"/>
    <w:rsid w:val="00DB60B0"/>
    <w:rsid w:val="00DC3060"/>
    <w:rsid w:val="00DD2FED"/>
    <w:rsid w:val="00DE0FB2"/>
    <w:rsid w:val="00DF093E"/>
    <w:rsid w:val="00E01F42"/>
    <w:rsid w:val="00E14793"/>
    <w:rsid w:val="00E206D6"/>
    <w:rsid w:val="00E33416"/>
    <w:rsid w:val="00E3366E"/>
    <w:rsid w:val="00E52086"/>
    <w:rsid w:val="00E52920"/>
    <w:rsid w:val="00E543A6"/>
    <w:rsid w:val="00E60479"/>
    <w:rsid w:val="00E61D73"/>
    <w:rsid w:val="00E67E2E"/>
    <w:rsid w:val="00E73684"/>
    <w:rsid w:val="00E818D6"/>
    <w:rsid w:val="00E87F7A"/>
    <w:rsid w:val="00E96BD7"/>
    <w:rsid w:val="00EA0DB1"/>
    <w:rsid w:val="00EA0EE9"/>
    <w:rsid w:val="00EB2D74"/>
    <w:rsid w:val="00ED52CA"/>
    <w:rsid w:val="00ED5860"/>
    <w:rsid w:val="00ED5A77"/>
    <w:rsid w:val="00EE35C9"/>
    <w:rsid w:val="00F00DE8"/>
    <w:rsid w:val="00F05ECA"/>
    <w:rsid w:val="00F16C45"/>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C5E6D"/>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E0511-58F1-4DC4-8924-AB093EC6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DFE493E3.dotm</Template>
  <TotalTime>399</TotalTime>
  <Pages>6</Pages>
  <Words>1867</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THOMPSON Jennifer</cp:lastModifiedBy>
  <cp:revision>9</cp:revision>
  <cp:lastPrinted>2015-07-03T12:50:00Z</cp:lastPrinted>
  <dcterms:created xsi:type="dcterms:W3CDTF">2020-12-18T17:09:00Z</dcterms:created>
  <dcterms:modified xsi:type="dcterms:W3CDTF">2021-01-05T10:52:00Z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